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801" w:rsidRPr="006D6E93" w:rsidRDefault="00492ACB" w:rsidP="00794775">
      <w:pPr>
        <w:pStyle w:val="Textoindependiente"/>
        <w:rPr>
          <w:rFonts w:ascii="Verdana" w:hAnsi="Verdana"/>
          <w:b/>
          <w:i/>
          <w:color w:val="000000"/>
          <w:sz w:val="20"/>
          <w:szCs w:val="20"/>
        </w:rPr>
      </w:pPr>
    </w:p>
    <w:p w:rsidR="00BE67A3" w:rsidRDefault="00BE67A3" w:rsidP="00BE67A3">
      <w:pPr>
        <w:pStyle w:val="Textoindependiente"/>
        <w:rPr>
          <w:rFonts w:ascii="Verdana" w:hAnsi="Verdana"/>
          <w:b/>
          <w:color w:val="000000"/>
          <w:sz w:val="20"/>
          <w:szCs w:val="20"/>
        </w:rPr>
      </w:pPr>
      <w:bookmarkStart w:id="0" w:name="_Hlk61513254"/>
    </w:p>
    <w:p w:rsidR="00BE67A3" w:rsidRDefault="00BE67A3" w:rsidP="00BE67A3">
      <w:pPr>
        <w:suppressAutoHyphens/>
        <w:jc w:val="center"/>
        <w:rPr>
          <w:rFonts w:ascii="Verdana" w:hAnsi="Verdana"/>
          <w:b/>
          <w:sz w:val="20"/>
          <w:szCs w:val="20"/>
          <w:lang w:eastAsia="ar-SA"/>
        </w:rPr>
      </w:pPr>
      <w:r>
        <w:rPr>
          <w:rFonts w:ascii="Verdana" w:hAnsi="Verdana"/>
          <w:b/>
          <w:sz w:val="20"/>
          <w:szCs w:val="20"/>
          <w:lang w:eastAsia="ar-SA"/>
        </w:rPr>
        <w:t>INFORME DE INTERVENCIÓN.</w:t>
      </w:r>
    </w:p>
    <w:p w:rsidR="00BE67A3" w:rsidRDefault="00BE67A3" w:rsidP="00BE67A3">
      <w:pPr>
        <w:suppressAutoHyphens/>
        <w:jc w:val="both"/>
        <w:rPr>
          <w:rFonts w:ascii="Verdana" w:hAnsi="Verdana"/>
          <w:sz w:val="20"/>
          <w:szCs w:val="20"/>
          <w:lang w:eastAsia="ar-SA"/>
        </w:rPr>
      </w:pPr>
    </w:p>
    <w:p w:rsidR="00BE67A3" w:rsidRDefault="00650CAC" w:rsidP="00BE67A3">
      <w:pPr>
        <w:suppressAutoHyphens/>
        <w:ind w:firstLine="708"/>
        <w:jc w:val="both"/>
        <w:rPr>
          <w:rFonts w:ascii="Verdana" w:hAnsi="Verdana"/>
          <w:sz w:val="20"/>
          <w:szCs w:val="20"/>
          <w:lang w:eastAsia="ar-SA"/>
        </w:rPr>
      </w:pPr>
      <w:proofErr w:type="gramStart"/>
      <w:r>
        <w:rPr>
          <w:rFonts w:ascii="Verdana" w:hAnsi="Verdana"/>
          <w:sz w:val="20"/>
          <w:szCs w:val="20"/>
          <w:lang w:eastAsia="ar-SA"/>
        </w:rPr>
        <w:t xml:space="preserve">La </w:t>
      </w:r>
      <w:r w:rsidR="00BE67A3">
        <w:rPr>
          <w:rFonts w:ascii="Verdana" w:hAnsi="Verdana"/>
          <w:sz w:val="20"/>
          <w:szCs w:val="20"/>
          <w:lang w:eastAsia="ar-SA"/>
        </w:rPr>
        <w:t xml:space="preserve"> Interventor</w:t>
      </w:r>
      <w:r>
        <w:rPr>
          <w:rFonts w:ascii="Verdana" w:hAnsi="Verdana"/>
          <w:sz w:val="20"/>
          <w:szCs w:val="20"/>
          <w:lang w:eastAsia="ar-SA"/>
        </w:rPr>
        <w:t>a</w:t>
      </w:r>
      <w:proofErr w:type="gramEnd"/>
      <w:r w:rsidR="00BE67A3">
        <w:rPr>
          <w:rFonts w:ascii="Verdana" w:hAnsi="Verdana"/>
          <w:sz w:val="20"/>
          <w:szCs w:val="20"/>
          <w:lang w:eastAsia="ar-SA"/>
        </w:rPr>
        <w:t xml:space="preserve"> del Excmo. Ayuntamiento de Campo de Criptana (Ciudad Real), en relación con el Proyecto de Presupuesto General de este Ayuntamiento para el ejercicio 202</w:t>
      </w:r>
      <w:r>
        <w:rPr>
          <w:rFonts w:ascii="Verdana" w:hAnsi="Verdana"/>
          <w:sz w:val="20"/>
          <w:szCs w:val="20"/>
          <w:lang w:eastAsia="ar-SA"/>
        </w:rPr>
        <w:t>4</w:t>
      </w:r>
      <w:r w:rsidR="00BE67A3">
        <w:rPr>
          <w:rFonts w:ascii="Verdana" w:hAnsi="Verdana"/>
          <w:sz w:val="20"/>
          <w:szCs w:val="20"/>
          <w:lang w:eastAsia="ar-SA"/>
        </w:rPr>
        <w:t>, formado por el Sr. Alcalde-Presidente, e integrado por el Presupuesto único de la Entidad Local, emite el informe preceptivo del art. 168.4 del Real Decreto Legislativo 2/2004, de 5 de marzo, por el que se aprueba el Texto Refundido de la Ley Reguladora de las Haciendas Locales en los siguientes términos:</w:t>
      </w:r>
    </w:p>
    <w:p w:rsidR="00BE67A3" w:rsidRDefault="00BE67A3" w:rsidP="00BE67A3">
      <w:pPr>
        <w:suppressAutoHyphens/>
        <w:jc w:val="both"/>
        <w:rPr>
          <w:rFonts w:ascii="Verdana" w:hAnsi="Verdana"/>
          <w:sz w:val="20"/>
          <w:szCs w:val="20"/>
          <w:lang w:eastAsia="ar-SA"/>
        </w:rPr>
      </w:pPr>
      <w:r>
        <w:rPr>
          <w:rFonts w:ascii="Verdana" w:hAnsi="Verdana"/>
          <w:sz w:val="20"/>
          <w:szCs w:val="20"/>
          <w:lang w:eastAsia="ar-SA"/>
        </w:rPr>
        <w:tab/>
      </w:r>
    </w:p>
    <w:p w:rsidR="00BE67A3" w:rsidRDefault="00BE67A3" w:rsidP="00BE67A3">
      <w:pPr>
        <w:suppressAutoHyphens/>
        <w:ind w:firstLine="360"/>
        <w:jc w:val="both"/>
        <w:rPr>
          <w:rFonts w:ascii="Verdana" w:hAnsi="Verdana"/>
          <w:sz w:val="20"/>
          <w:szCs w:val="20"/>
          <w:lang w:eastAsia="ar-SA"/>
        </w:rPr>
      </w:pPr>
      <w:r>
        <w:rPr>
          <w:rFonts w:ascii="Verdana" w:hAnsi="Verdana"/>
          <w:b/>
          <w:sz w:val="20"/>
          <w:szCs w:val="20"/>
          <w:lang w:eastAsia="ar-SA"/>
        </w:rPr>
        <w:tab/>
      </w:r>
      <w:proofErr w:type="gramStart"/>
      <w:r>
        <w:rPr>
          <w:rFonts w:ascii="Verdana" w:hAnsi="Verdana"/>
          <w:b/>
          <w:sz w:val="20"/>
          <w:szCs w:val="20"/>
          <w:lang w:eastAsia="ar-SA"/>
        </w:rPr>
        <w:t>PRIMERO.-</w:t>
      </w:r>
      <w:proofErr w:type="gramEnd"/>
      <w:r>
        <w:rPr>
          <w:rFonts w:ascii="Verdana" w:hAnsi="Verdana"/>
          <w:sz w:val="20"/>
          <w:szCs w:val="20"/>
          <w:lang w:eastAsia="ar-SA"/>
        </w:rPr>
        <w:t xml:space="preserve"> </w:t>
      </w:r>
      <w:r>
        <w:rPr>
          <w:rFonts w:ascii="Verdana" w:hAnsi="Verdana"/>
          <w:b/>
          <w:sz w:val="20"/>
          <w:szCs w:val="20"/>
          <w:lang w:eastAsia="ar-SA"/>
        </w:rPr>
        <w:t>Legislación aplicable:</w:t>
      </w:r>
    </w:p>
    <w:p w:rsidR="00BE67A3" w:rsidRDefault="00BE67A3" w:rsidP="00BE67A3">
      <w:pPr>
        <w:suppressAutoHyphens/>
        <w:jc w:val="both"/>
        <w:rPr>
          <w:rFonts w:ascii="Verdana" w:hAnsi="Verdana"/>
          <w:sz w:val="20"/>
          <w:szCs w:val="20"/>
          <w:lang w:eastAsia="ar-SA"/>
        </w:rPr>
      </w:pP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 xml:space="preserve">Ley 7/1985, de 2 de abril, Reguladora de las Bases del Régimen Local (LBRL). </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 xml:space="preserve">Texto Refundido de la Ley Reguladora de Haciendas Locales (TRLRHL) aprobado por RDL 2/2004, de 5 de marzo. </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 xml:space="preserve">Real Decreto 500/1990, de 20 de abril. </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 xml:space="preserve">Ley 2/2011, de 4 de marzo, de Economía Sostenible </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 xml:space="preserve">Ley Orgánica 2/2012, de 27 de </w:t>
      </w:r>
      <w:proofErr w:type="gramStart"/>
      <w:r>
        <w:rPr>
          <w:rFonts w:ascii="Verdana" w:hAnsi="Verdana"/>
          <w:color w:val="000000"/>
          <w:spacing w:val="-1"/>
          <w:kern w:val="2"/>
          <w:sz w:val="20"/>
          <w:szCs w:val="20"/>
          <w:lang w:eastAsia="ar-SA"/>
        </w:rPr>
        <w:t>Abril</w:t>
      </w:r>
      <w:proofErr w:type="gramEnd"/>
      <w:r>
        <w:rPr>
          <w:rFonts w:ascii="Verdana" w:hAnsi="Verdana"/>
          <w:color w:val="000000"/>
          <w:spacing w:val="-1"/>
          <w:kern w:val="2"/>
          <w:sz w:val="20"/>
          <w:szCs w:val="20"/>
          <w:lang w:eastAsia="ar-SA"/>
        </w:rPr>
        <w:t xml:space="preserve">, de Estabilidad Presupuestaria y Sostenibilidad Financiera. </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proofErr w:type="gramStart"/>
      <w:r>
        <w:rPr>
          <w:rFonts w:ascii="Verdana" w:hAnsi="Verdana"/>
          <w:color w:val="000000"/>
          <w:spacing w:val="-1"/>
          <w:kern w:val="2"/>
          <w:sz w:val="20"/>
          <w:szCs w:val="20"/>
          <w:lang w:eastAsia="ar-SA"/>
        </w:rPr>
        <w:t>Real  Decreto</w:t>
      </w:r>
      <w:proofErr w:type="gramEnd"/>
      <w:r>
        <w:rPr>
          <w:rFonts w:ascii="Verdana" w:hAnsi="Verdana"/>
          <w:color w:val="000000"/>
          <w:spacing w:val="-1"/>
          <w:kern w:val="2"/>
          <w:sz w:val="20"/>
          <w:szCs w:val="20"/>
          <w:lang w:eastAsia="ar-SA"/>
        </w:rPr>
        <w:t xml:space="preserve">  1463/2007,  de  2  de  noviembre,  por  el  que  se  aprueba  el  reglamento  de desarrollo  de  la  Ley  18/2001,  de  12  de  diciembre,  de  Estabilidad  Presupuestaria,  en  su aplicación a las entidades locales. </w:t>
      </w:r>
    </w:p>
    <w:p w:rsidR="00BE67A3" w:rsidRDefault="00BE67A3" w:rsidP="00BE67A3">
      <w:pPr>
        <w:numPr>
          <w:ilvl w:val="0"/>
          <w:numId w:val="2"/>
        </w:numPr>
        <w:suppressAutoHyphens/>
        <w:ind w:left="1276"/>
        <w:jc w:val="both"/>
        <w:rPr>
          <w:rFonts w:ascii="Verdana" w:hAnsi="Verdana"/>
          <w:kern w:val="2"/>
          <w:sz w:val="20"/>
          <w:szCs w:val="20"/>
          <w:lang w:eastAsia="ar-SA"/>
        </w:rPr>
      </w:pPr>
      <w:proofErr w:type="gramStart"/>
      <w:r>
        <w:rPr>
          <w:rFonts w:ascii="Verdana" w:hAnsi="Verdana"/>
          <w:color w:val="000000"/>
          <w:spacing w:val="-1"/>
          <w:kern w:val="2"/>
          <w:sz w:val="20"/>
          <w:szCs w:val="20"/>
          <w:lang w:eastAsia="ar-SA"/>
        </w:rPr>
        <w:t>Orden  EHA</w:t>
      </w:r>
      <w:proofErr w:type="gramEnd"/>
      <w:r>
        <w:rPr>
          <w:rFonts w:ascii="Verdana" w:hAnsi="Verdana"/>
          <w:color w:val="000000"/>
          <w:spacing w:val="-1"/>
          <w:kern w:val="2"/>
          <w:sz w:val="20"/>
          <w:szCs w:val="20"/>
          <w:lang w:eastAsia="ar-SA"/>
        </w:rPr>
        <w:t xml:space="preserve">/3565/2008,  de  3  de  diciembre,  por  la  que  se  establece  la  estructura  de  los Presupuestos de los entes locales. </w:t>
      </w:r>
    </w:p>
    <w:p w:rsidR="00BE67A3" w:rsidRDefault="00BE67A3" w:rsidP="00BE67A3">
      <w:pPr>
        <w:numPr>
          <w:ilvl w:val="0"/>
          <w:numId w:val="2"/>
        </w:numPr>
        <w:suppressAutoHyphens/>
        <w:ind w:left="1276"/>
        <w:jc w:val="both"/>
        <w:rPr>
          <w:rFonts w:ascii="Verdana" w:hAnsi="Verdana"/>
          <w:kern w:val="2"/>
          <w:sz w:val="20"/>
          <w:szCs w:val="20"/>
          <w:lang w:eastAsia="ar-SA"/>
        </w:rPr>
      </w:pPr>
      <w:r>
        <w:rPr>
          <w:rFonts w:ascii="Verdana" w:hAnsi="Verdana"/>
          <w:kern w:val="2"/>
          <w:sz w:val="20"/>
          <w:szCs w:val="20"/>
          <w:lang w:eastAsia="ar-SA"/>
        </w:rPr>
        <w:t>Orden HAP/419/2014, de 14 de marzo, por la que se modifica la Orden EHA/3565/2008, de 3 de diciembre, por la que se aprueba la estructura de los presupuestos de las entidades locales.</w:t>
      </w:r>
    </w:p>
    <w:p w:rsidR="00BE67A3" w:rsidRDefault="00BE67A3" w:rsidP="00BE67A3">
      <w:pPr>
        <w:numPr>
          <w:ilvl w:val="0"/>
          <w:numId w:val="2"/>
        </w:numPr>
        <w:suppressAutoHyphens/>
        <w:ind w:left="1276"/>
        <w:jc w:val="both"/>
        <w:rPr>
          <w:rFonts w:ascii="Verdana" w:hAnsi="Verdana"/>
          <w:kern w:val="2"/>
          <w:sz w:val="20"/>
          <w:szCs w:val="20"/>
          <w:lang w:eastAsia="ar-SA"/>
        </w:rPr>
      </w:pPr>
      <w:r>
        <w:rPr>
          <w:rFonts w:ascii="Verdana" w:hAnsi="Verdana"/>
          <w:kern w:val="2"/>
          <w:sz w:val="20"/>
          <w:szCs w:val="20"/>
          <w:lang w:eastAsia="ar-SA"/>
        </w:rPr>
        <w:t>Orden HAP/1781/2013, de 20 de septiembre, por la que se aprueba la Instrucción del modelo normal de contabilidad local.</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Ley 47/2003, de 26 de noviembre, General Presupuestaria,</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Ley 38/</w:t>
      </w:r>
      <w:proofErr w:type="gramStart"/>
      <w:r>
        <w:rPr>
          <w:rFonts w:ascii="Verdana" w:hAnsi="Verdana"/>
          <w:color w:val="000000"/>
          <w:spacing w:val="-1"/>
          <w:kern w:val="2"/>
          <w:sz w:val="20"/>
          <w:szCs w:val="20"/>
          <w:lang w:eastAsia="ar-SA"/>
        </w:rPr>
        <w:t>2003,  de</w:t>
      </w:r>
      <w:proofErr w:type="gramEnd"/>
      <w:r>
        <w:rPr>
          <w:rFonts w:ascii="Verdana" w:hAnsi="Verdana"/>
          <w:color w:val="000000"/>
          <w:spacing w:val="-1"/>
          <w:kern w:val="2"/>
          <w:sz w:val="20"/>
          <w:szCs w:val="20"/>
          <w:lang w:eastAsia="ar-SA"/>
        </w:rPr>
        <w:t xml:space="preserve"> 17  de noviembre, General de Subvenciones  y por su Reglamento, aprobado por Real Decreto 887/2006, de 21 de julio. </w:t>
      </w:r>
    </w:p>
    <w:p w:rsidR="00BE67A3" w:rsidRDefault="00BE67A3" w:rsidP="00BE67A3">
      <w:pPr>
        <w:numPr>
          <w:ilvl w:val="0"/>
          <w:numId w:val="2"/>
        </w:numPr>
        <w:suppressAutoHyphens/>
        <w:ind w:left="1276"/>
        <w:jc w:val="both"/>
        <w:rPr>
          <w:rFonts w:ascii="Verdana" w:hAnsi="Verdana"/>
          <w:kern w:val="2"/>
          <w:sz w:val="20"/>
          <w:szCs w:val="20"/>
          <w:lang w:eastAsia="ar-SA"/>
        </w:rPr>
      </w:pPr>
      <w:r>
        <w:rPr>
          <w:rFonts w:ascii="Verdana" w:hAnsi="Verdana"/>
          <w:color w:val="000000"/>
          <w:spacing w:val="-1"/>
          <w:kern w:val="2"/>
          <w:sz w:val="20"/>
          <w:szCs w:val="20"/>
          <w:lang w:eastAsia="ar-SA"/>
        </w:rPr>
        <w:t xml:space="preserve">Orden HAP/2105/2012, de 1 de </w:t>
      </w:r>
      <w:proofErr w:type="gramStart"/>
      <w:r>
        <w:rPr>
          <w:rFonts w:ascii="Verdana" w:hAnsi="Verdana"/>
          <w:color w:val="000000"/>
          <w:spacing w:val="-1"/>
          <w:kern w:val="2"/>
          <w:sz w:val="20"/>
          <w:szCs w:val="20"/>
          <w:lang w:eastAsia="ar-SA"/>
        </w:rPr>
        <w:t>Octubre</w:t>
      </w:r>
      <w:proofErr w:type="gramEnd"/>
      <w:r>
        <w:rPr>
          <w:rFonts w:ascii="Verdana" w:hAnsi="Verdana"/>
          <w:color w:val="000000"/>
          <w:spacing w:val="-1"/>
          <w:kern w:val="2"/>
          <w:sz w:val="20"/>
          <w:szCs w:val="20"/>
          <w:lang w:eastAsia="ar-SA"/>
        </w:rPr>
        <w:t>, por la que se desarrollan las obligaciones de suministro de información previstas en la Ley Orgánica de Estabilidad Presupuestaria y Sostenibilidad Financiera.</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kern w:val="2"/>
          <w:sz w:val="20"/>
          <w:szCs w:val="20"/>
          <w:lang w:eastAsia="ar-SA"/>
        </w:rPr>
        <w:t>Orden HAP/2082/2014, de 7 de noviembre, por la que se modifica la Orden HAP/2105/2012, de 1 de octubre, por la que se desarrollan las obligaciones de suministro de información previstas en la Ley Orgánica 2/2012, de 27 de abril, de Estabilidad Presupuestaria y Sostenibilidad Financiera.</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spacing w:val="-1"/>
          <w:kern w:val="2"/>
          <w:sz w:val="20"/>
          <w:szCs w:val="20"/>
          <w:lang w:eastAsia="ar-SA"/>
        </w:rPr>
        <w:t xml:space="preserve">Ley 15/2010, de 5 de Julio, de modificación de la Ley 3/2004, de 29 de diciembre, por la que se establecen medidas de lucha contra la morosidad en las operaciones comerciales. </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kern w:val="2"/>
          <w:sz w:val="20"/>
          <w:szCs w:val="20"/>
          <w:lang w:eastAsia="ar-SA"/>
        </w:rPr>
        <w:t>Real Decreto 635/2014 de 25 de julio, por el que se desarrolla la metodología de cálculo del período medio de pago a proveedores de las Administraciones Públicas y las condiciones y el procedimiento de retención de recursos de los regímenes de financiación, previstos en la Ley Orgánica 2/2012, de 27 de abril, de Estabilidad Presupuestaria y Sostenibilidad Financiera.</w:t>
      </w:r>
    </w:p>
    <w:p w:rsidR="00BE67A3" w:rsidRDefault="00BE67A3" w:rsidP="00BE67A3">
      <w:pPr>
        <w:numPr>
          <w:ilvl w:val="0"/>
          <w:numId w:val="2"/>
        </w:numPr>
        <w:suppressAutoHyphens/>
        <w:ind w:left="1276"/>
        <w:jc w:val="both"/>
        <w:rPr>
          <w:rFonts w:ascii="Verdana" w:hAnsi="Verdana"/>
          <w:color w:val="000000"/>
          <w:spacing w:val="-1"/>
          <w:kern w:val="2"/>
          <w:sz w:val="20"/>
          <w:szCs w:val="20"/>
          <w:lang w:eastAsia="ar-SA"/>
        </w:rPr>
      </w:pPr>
      <w:r>
        <w:rPr>
          <w:rFonts w:ascii="Verdana" w:hAnsi="Verdana"/>
          <w:color w:val="000000"/>
          <w:kern w:val="2"/>
          <w:sz w:val="20"/>
          <w:szCs w:val="20"/>
          <w:lang w:eastAsia="ar-SA"/>
        </w:rPr>
        <w:t>Ley 25/2013 de impulso de la facturación electrónica y creación del registro contable de facturas del sector público.</w:t>
      </w:r>
    </w:p>
    <w:p w:rsidR="00BE67A3" w:rsidRDefault="00BE67A3" w:rsidP="00BE67A3">
      <w:pPr>
        <w:numPr>
          <w:ilvl w:val="0"/>
          <w:numId w:val="2"/>
        </w:numPr>
        <w:suppressAutoHyphens/>
        <w:ind w:left="1276"/>
        <w:jc w:val="both"/>
        <w:rPr>
          <w:rFonts w:ascii="Verdana" w:hAnsi="Verdana"/>
          <w:sz w:val="20"/>
          <w:szCs w:val="20"/>
          <w:lang w:eastAsia="ar-SA"/>
        </w:rPr>
      </w:pPr>
      <w:r>
        <w:rPr>
          <w:rFonts w:ascii="Verdana" w:hAnsi="Verdana"/>
          <w:sz w:val="20"/>
          <w:szCs w:val="20"/>
          <w:lang w:eastAsia="ar-SA"/>
        </w:rPr>
        <w:t xml:space="preserve">Real Decreto 128/2018, de 16 de marzo, por el que se regula el Régimen Jurídico de los </w:t>
      </w:r>
      <w:proofErr w:type="gramStart"/>
      <w:r>
        <w:rPr>
          <w:rFonts w:ascii="Verdana" w:hAnsi="Verdana"/>
          <w:sz w:val="20"/>
          <w:szCs w:val="20"/>
          <w:lang w:eastAsia="ar-SA"/>
        </w:rPr>
        <w:t>Funcionarios</w:t>
      </w:r>
      <w:proofErr w:type="gramEnd"/>
      <w:r>
        <w:rPr>
          <w:rFonts w:ascii="Verdana" w:hAnsi="Verdana"/>
          <w:sz w:val="20"/>
          <w:szCs w:val="20"/>
          <w:lang w:eastAsia="ar-SA"/>
        </w:rPr>
        <w:t xml:space="preserve"> de la Administración Local con Habilitación de Carácter Nacional. </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jc w:val="both"/>
        <w:rPr>
          <w:rFonts w:ascii="Verdana" w:hAnsi="Verdana"/>
          <w:sz w:val="20"/>
          <w:szCs w:val="20"/>
          <w:lang w:eastAsia="ar-SA"/>
        </w:rPr>
      </w:pPr>
    </w:p>
    <w:p w:rsidR="00BE67A3" w:rsidRDefault="00BE67A3" w:rsidP="00BE67A3">
      <w:pPr>
        <w:suppressAutoHyphens/>
        <w:jc w:val="both"/>
        <w:rPr>
          <w:rFonts w:ascii="Verdana" w:hAnsi="Verdana"/>
          <w:sz w:val="20"/>
          <w:szCs w:val="20"/>
          <w:lang w:eastAsia="ar-SA"/>
        </w:rPr>
      </w:pP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360"/>
        <w:jc w:val="both"/>
        <w:rPr>
          <w:rFonts w:ascii="Verdana" w:hAnsi="Verdana"/>
          <w:sz w:val="20"/>
          <w:szCs w:val="20"/>
          <w:lang w:eastAsia="ar-SA"/>
        </w:rPr>
      </w:pPr>
      <w:r>
        <w:rPr>
          <w:rFonts w:ascii="Verdana" w:hAnsi="Verdana"/>
          <w:b/>
          <w:sz w:val="20"/>
          <w:szCs w:val="20"/>
          <w:lang w:eastAsia="ar-SA"/>
        </w:rPr>
        <w:tab/>
      </w:r>
      <w:proofErr w:type="gramStart"/>
      <w:r>
        <w:rPr>
          <w:rFonts w:ascii="Verdana" w:hAnsi="Verdana"/>
          <w:b/>
          <w:sz w:val="20"/>
          <w:szCs w:val="20"/>
          <w:lang w:eastAsia="ar-SA"/>
        </w:rPr>
        <w:t>SEGUNDO.-</w:t>
      </w:r>
      <w:proofErr w:type="gramEnd"/>
      <w:r>
        <w:rPr>
          <w:rFonts w:ascii="Verdana" w:hAnsi="Verdana"/>
          <w:sz w:val="20"/>
          <w:szCs w:val="20"/>
          <w:lang w:eastAsia="ar-SA"/>
        </w:rPr>
        <w:t xml:space="preserve"> </w:t>
      </w:r>
      <w:r>
        <w:rPr>
          <w:rFonts w:ascii="Verdana" w:hAnsi="Verdana"/>
          <w:b/>
          <w:sz w:val="20"/>
          <w:szCs w:val="20"/>
          <w:lang w:eastAsia="ar-SA"/>
        </w:rPr>
        <w:t>Documentación que obra en el expediente:</w:t>
      </w:r>
    </w:p>
    <w:p w:rsidR="00BE67A3" w:rsidRDefault="00BE67A3" w:rsidP="00BE67A3">
      <w:pPr>
        <w:suppressAutoHyphens/>
        <w:jc w:val="both"/>
        <w:rPr>
          <w:rFonts w:ascii="Verdana" w:hAnsi="Verdana"/>
          <w:sz w:val="20"/>
          <w:szCs w:val="20"/>
          <w:lang w:eastAsia="ar-SA"/>
        </w:rPr>
      </w:pP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Memoria de Alcaldía.</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Liquidación presupuestaria del ejercicio 202</w:t>
      </w:r>
      <w:r w:rsidR="006C6D0D">
        <w:rPr>
          <w:rFonts w:ascii="Verdana" w:hAnsi="Verdana"/>
          <w:sz w:val="20"/>
          <w:szCs w:val="20"/>
          <w:lang w:eastAsia="ar-SA"/>
        </w:rPr>
        <w:t>2</w:t>
      </w:r>
      <w:r>
        <w:rPr>
          <w:rFonts w:ascii="Verdana" w:hAnsi="Verdana"/>
          <w:sz w:val="20"/>
          <w:szCs w:val="20"/>
          <w:lang w:eastAsia="ar-SA"/>
        </w:rPr>
        <w:t xml:space="preserve"> y avance liquidación 202</w:t>
      </w:r>
      <w:r w:rsidR="006C6D0D">
        <w:rPr>
          <w:rFonts w:ascii="Verdana" w:hAnsi="Verdana"/>
          <w:sz w:val="20"/>
          <w:szCs w:val="20"/>
          <w:lang w:eastAsia="ar-SA"/>
        </w:rPr>
        <w:t>3</w:t>
      </w:r>
      <w:r>
        <w:rPr>
          <w:rFonts w:ascii="Verdana" w:hAnsi="Verdana"/>
          <w:sz w:val="20"/>
          <w:szCs w:val="20"/>
          <w:lang w:eastAsia="ar-SA"/>
        </w:rPr>
        <w:t>.</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Plantilla de personal</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Anexo de Personal</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Anexo de Inversiones</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Anexo del Estado de la Deuda</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cs="Arial"/>
          <w:sz w:val="20"/>
          <w:szCs w:val="20"/>
          <w:lang w:val="es-ES_tradnl" w:eastAsia="ar-SA"/>
        </w:rPr>
        <w:t>Anexo con información relativa a los convenios suscritos con la Comunidad Autónoma en materia de gasto social</w:t>
      </w:r>
      <w:r w:rsidR="006C6D0D">
        <w:rPr>
          <w:rFonts w:ascii="Verdana" w:hAnsi="Verdana" w:cs="Arial"/>
          <w:sz w:val="20"/>
          <w:szCs w:val="20"/>
          <w:lang w:val="es-ES_tradnl" w:eastAsia="ar-SA"/>
        </w:rPr>
        <w:t>.</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cs="Arial"/>
          <w:sz w:val="20"/>
          <w:szCs w:val="20"/>
          <w:lang w:val="es-ES_tradnl" w:eastAsia="ar-SA"/>
        </w:rPr>
        <w:t xml:space="preserve">Anexo beneficios fiscales </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Informe Económico Financiero</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Estado de Gastos e Ingresos</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Bases de Ejecución</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Anexo Plan Estratégico de Subvenciones 202</w:t>
      </w:r>
      <w:r w:rsidR="006C6D0D">
        <w:rPr>
          <w:rFonts w:ascii="Verdana" w:hAnsi="Verdana"/>
          <w:sz w:val="20"/>
          <w:szCs w:val="20"/>
          <w:lang w:eastAsia="ar-SA"/>
        </w:rPr>
        <w:t>4</w:t>
      </w:r>
      <w:r>
        <w:rPr>
          <w:rFonts w:ascii="Verdana" w:hAnsi="Verdana"/>
          <w:sz w:val="20"/>
          <w:szCs w:val="20"/>
          <w:lang w:eastAsia="ar-SA"/>
        </w:rPr>
        <w:t>.</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Informe de Secretaría</w:t>
      </w:r>
    </w:p>
    <w:p w:rsidR="00BE67A3" w:rsidRDefault="00BE67A3" w:rsidP="00BE67A3">
      <w:pPr>
        <w:numPr>
          <w:ilvl w:val="0"/>
          <w:numId w:val="3"/>
        </w:numPr>
        <w:suppressAutoHyphens/>
        <w:ind w:left="1276"/>
        <w:jc w:val="both"/>
        <w:rPr>
          <w:rFonts w:ascii="Verdana" w:hAnsi="Verdana"/>
          <w:sz w:val="20"/>
          <w:szCs w:val="20"/>
          <w:lang w:eastAsia="ar-SA"/>
        </w:rPr>
      </w:pPr>
      <w:r>
        <w:rPr>
          <w:rFonts w:ascii="Verdana" w:hAnsi="Verdana"/>
          <w:sz w:val="20"/>
          <w:szCs w:val="20"/>
          <w:lang w:eastAsia="ar-SA"/>
        </w:rPr>
        <w:t>Informe de Intervención</w:t>
      </w:r>
    </w:p>
    <w:p w:rsidR="00BE67A3" w:rsidRDefault="00BE67A3" w:rsidP="00BE67A3">
      <w:pPr>
        <w:suppressAutoHyphens/>
        <w:ind w:left="1276"/>
        <w:jc w:val="both"/>
        <w:rPr>
          <w:rFonts w:ascii="Verdana" w:hAnsi="Verdana"/>
          <w:sz w:val="20"/>
          <w:szCs w:val="20"/>
          <w:lang w:eastAsia="ar-SA"/>
        </w:rPr>
      </w:pPr>
    </w:p>
    <w:p w:rsidR="00BE67A3" w:rsidRDefault="00BE67A3" w:rsidP="00BE67A3">
      <w:pPr>
        <w:suppressAutoHyphens/>
        <w:ind w:left="720"/>
        <w:jc w:val="both"/>
        <w:rPr>
          <w:rFonts w:ascii="Verdana" w:hAnsi="Verdana"/>
          <w:sz w:val="20"/>
          <w:szCs w:val="20"/>
          <w:lang w:eastAsia="ar-SA"/>
        </w:rPr>
      </w:pPr>
    </w:p>
    <w:p w:rsidR="00BE67A3" w:rsidRDefault="00BE67A3" w:rsidP="00BE67A3">
      <w:pPr>
        <w:suppressAutoHyphens/>
        <w:ind w:firstLine="360"/>
        <w:jc w:val="both"/>
        <w:rPr>
          <w:rFonts w:ascii="Verdana" w:hAnsi="Verdana"/>
          <w:sz w:val="20"/>
          <w:szCs w:val="20"/>
          <w:lang w:eastAsia="ar-SA"/>
        </w:rPr>
      </w:pPr>
      <w:r>
        <w:rPr>
          <w:rFonts w:ascii="Verdana" w:hAnsi="Verdana"/>
          <w:b/>
          <w:sz w:val="20"/>
          <w:szCs w:val="20"/>
          <w:lang w:eastAsia="ar-SA"/>
        </w:rPr>
        <w:tab/>
      </w:r>
      <w:proofErr w:type="gramStart"/>
      <w:r>
        <w:rPr>
          <w:rFonts w:ascii="Verdana" w:hAnsi="Verdana"/>
          <w:b/>
          <w:sz w:val="20"/>
          <w:szCs w:val="20"/>
          <w:lang w:eastAsia="ar-SA"/>
        </w:rPr>
        <w:t>TERCERO.-</w:t>
      </w:r>
      <w:proofErr w:type="gramEnd"/>
      <w:r>
        <w:rPr>
          <w:rFonts w:ascii="Verdana" w:hAnsi="Verdana"/>
          <w:sz w:val="20"/>
          <w:szCs w:val="20"/>
          <w:lang w:eastAsia="ar-SA"/>
        </w:rPr>
        <w:t xml:space="preserve"> </w:t>
      </w:r>
      <w:r>
        <w:rPr>
          <w:rFonts w:ascii="Verdana" w:hAnsi="Verdana"/>
          <w:b/>
          <w:sz w:val="20"/>
          <w:szCs w:val="20"/>
          <w:lang w:eastAsia="ar-SA"/>
        </w:rPr>
        <w:t>Memoria de Alcaldía.</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360"/>
        <w:jc w:val="both"/>
        <w:rPr>
          <w:rFonts w:ascii="Verdana" w:hAnsi="Verdana"/>
          <w:sz w:val="20"/>
          <w:szCs w:val="20"/>
          <w:lang w:eastAsia="ar-SA"/>
        </w:rPr>
      </w:pPr>
      <w:r>
        <w:rPr>
          <w:rFonts w:ascii="Verdana" w:hAnsi="Verdana"/>
          <w:sz w:val="20"/>
          <w:szCs w:val="20"/>
          <w:lang w:eastAsia="ar-SA"/>
        </w:rPr>
        <w:tab/>
        <w:t xml:space="preserve">Es el documento en el que el </w:t>
      </w:r>
      <w:proofErr w:type="gramStart"/>
      <w:r>
        <w:rPr>
          <w:rFonts w:ascii="Verdana" w:hAnsi="Verdana"/>
          <w:sz w:val="20"/>
          <w:szCs w:val="20"/>
          <w:lang w:eastAsia="ar-SA"/>
        </w:rPr>
        <w:t>Alcalde</w:t>
      </w:r>
      <w:proofErr w:type="gramEnd"/>
      <w:r>
        <w:rPr>
          <w:rFonts w:ascii="Verdana" w:hAnsi="Verdana"/>
          <w:sz w:val="20"/>
          <w:szCs w:val="20"/>
          <w:lang w:eastAsia="ar-SA"/>
        </w:rPr>
        <w:t>-Presidente explica las líneas de la economía municipal que se plasman en el presupuesto anual.</w:t>
      </w:r>
    </w:p>
    <w:p w:rsidR="00BE67A3" w:rsidRDefault="00BE67A3" w:rsidP="00BE67A3">
      <w:pPr>
        <w:suppressAutoHyphens/>
        <w:ind w:firstLine="360"/>
        <w:jc w:val="both"/>
        <w:rPr>
          <w:rFonts w:ascii="Verdana" w:hAnsi="Verdana"/>
          <w:sz w:val="20"/>
          <w:szCs w:val="20"/>
          <w:lang w:eastAsia="ar-SA"/>
        </w:rPr>
      </w:pP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360"/>
        <w:jc w:val="both"/>
        <w:rPr>
          <w:rFonts w:ascii="Verdana" w:hAnsi="Verdana"/>
          <w:sz w:val="20"/>
          <w:szCs w:val="20"/>
          <w:lang w:eastAsia="ar-SA"/>
        </w:rPr>
      </w:pPr>
      <w:r>
        <w:rPr>
          <w:rFonts w:ascii="Verdana" w:hAnsi="Verdana"/>
          <w:b/>
          <w:sz w:val="20"/>
          <w:szCs w:val="20"/>
          <w:lang w:eastAsia="ar-SA"/>
        </w:rPr>
        <w:tab/>
      </w:r>
      <w:proofErr w:type="gramStart"/>
      <w:r>
        <w:rPr>
          <w:rFonts w:ascii="Verdana" w:hAnsi="Verdana"/>
          <w:b/>
          <w:sz w:val="20"/>
          <w:szCs w:val="20"/>
          <w:lang w:eastAsia="ar-SA"/>
        </w:rPr>
        <w:t>CUARTO.-</w:t>
      </w:r>
      <w:proofErr w:type="gramEnd"/>
      <w:r>
        <w:rPr>
          <w:rFonts w:ascii="Verdana" w:hAnsi="Verdana"/>
          <w:sz w:val="20"/>
          <w:szCs w:val="20"/>
          <w:lang w:eastAsia="ar-SA"/>
        </w:rPr>
        <w:t xml:space="preserve"> </w:t>
      </w:r>
      <w:r>
        <w:rPr>
          <w:rFonts w:ascii="Verdana" w:hAnsi="Verdana"/>
          <w:b/>
          <w:sz w:val="20"/>
          <w:szCs w:val="20"/>
          <w:lang w:eastAsia="ar-SA"/>
        </w:rPr>
        <w:t>Liquidación del presupuesto 202</w:t>
      </w:r>
      <w:r w:rsidR="00B77ACF">
        <w:rPr>
          <w:rFonts w:ascii="Verdana" w:hAnsi="Verdana"/>
          <w:b/>
          <w:sz w:val="20"/>
          <w:szCs w:val="20"/>
          <w:lang w:eastAsia="ar-SA"/>
        </w:rPr>
        <w:t>2</w:t>
      </w:r>
      <w:r>
        <w:rPr>
          <w:rFonts w:ascii="Verdana" w:hAnsi="Verdana"/>
          <w:b/>
          <w:sz w:val="20"/>
          <w:szCs w:val="20"/>
          <w:lang w:eastAsia="ar-SA"/>
        </w:rPr>
        <w:t xml:space="preserve"> y avance de liquidación 202</w:t>
      </w:r>
      <w:r w:rsidR="00B77ACF">
        <w:rPr>
          <w:rFonts w:ascii="Verdana" w:hAnsi="Verdana"/>
          <w:b/>
          <w:sz w:val="20"/>
          <w:szCs w:val="20"/>
          <w:lang w:eastAsia="ar-SA"/>
        </w:rPr>
        <w:t>3</w:t>
      </w:r>
      <w:r>
        <w:rPr>
          <w:rFonts w:ascii="Verdana" w:hAnsi="Verdana"/>
          <w:b/>
          <w:sz w:val="20"/>
          <w:szCs w:val="20"/>
          <w:lang w:eastAsia="ar-SA"/>
        </w:rPr>
        <w:t>.</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360"/>
        <w:jc w:val="both"/>
        <w:rPr>
          <w:rFonts w:ascii="Verdana" w:hAnsi="Verdana"/>
          <w:sz w:val="20"/>
          <w:szCs w:val="20"/>
          <w:lang w:eastAsia="ar-SA"/>
        </w:rPr>
      </w:pPr>
      <w:r>
        <w:rPr>
          <w:rFonts w:ascii="Verdana" w:hAnsi="Verdana"/>
          <w:sz w:val="20"/>
          <w:szCs w:val="20"/>
          <w:lang w:eastAsia="ar-SA"/>
        </w:rPr>
        <w:tab/>
        <w:t>La introducción de esta documentación en los presupuestos tiene por finalidad que se disponga de referencias del ejercicio anterior y de la marcha del corriente para contrastarla con las previsiones que se hacen en el proyecto de presupuesto. Se aporta liquidación del presupuesto 202</w:t>
      </w:r>
      <w:r w:rsidR="00B77ACF">
        <w:rPr>
          <w:rFonts w:ascii="Verdana" w:hAnsi="Verdana"/>
          <w:sz w:val="20"/>
          <w:szCs w:val="20"/>
          <w:lang w:eastAsia="ar-SA"/>
        </w:rPr>
        <w:t>2</w:t>
      </w:r>
      <w:r>
        <w:rPr>
          <w:rFonts w:ascii="Verdana" w:hAnsi="Verdana"/>
          <w:sz w:val="20"/>
          <w:szCs w:val="20"/>
          <w:lang w:eastAsia="ar-SA"/>
        </w:rPr>
        <w:t xml:space="preserve"> y el avance de la liquidación del 202</w:t>
      </w:r>
      <w:r w:rsidR="00B77ACF">
        <w:rPr>
          <w:rFonts w:ascii="Verdana" w:hAnsi="Verdana"/>
          <w:sz w:val="20"/>
          <w:szCs w:val="20"/>
          <w:lang w:eastAsia="ar-SA"/>
        </w:rPr>
        <w:t>3</w:t>
      </w:r>
      <w:r>
        <w:rPr>
          <w:rFonts w:ascii="Verdana" w:hAnsi="Verdana"/>
          <w:sz w:val="20"/>
          <w:szCs w:val="20"/>
          <w:lang w:eastAsia="ar-SA"/>
        </w:rPr>
        <w:t xml:space="preserve"> por aplicación presupuestaria tanto para el estado de gastos como para el de ingresos. </w:t>
      </w:r>
    </w:p>
    <w:p w:rsidR="00BE67A3" w:rsidRDefault="00BE67A3" w:rsidP="00BE67A3">
      <w:pPr>
        <w:suppressAutoHyphens/>
        <w:ind w:firstLine="708"/>
        <w:jc w:val="both"/>
        <w:rPr>
          <w:rFonts w:ascii="Verdana" w:hAnsi="Verdana"/>
          <w:sz w:val="20"/>
          <w:szCs w:val="20"/>
          <w:lang w:eastAsia="ar-SA"/>
        </w:rPr>
      </w:pPr>
    </w:p>
    <w:p w:rsidR="00BE67A3" w:rsidRDefault="00BE67A3" w:rsidP="00BE67A3">
      <w:pPr>
        <w:suppressAutoHyphens/>
        <w:ind w:firstLine="426"/>
        <w:jc w:val="both"/>
        <w:rPr>
          <w:rFonts w:ascii="Verdana" w:hAnsi="Verdana"/>
          <w:sz w:val="20"/>
          <w:szCs w:val="20"/>
          <w:lang w:eastAsia="ar-SA"/>
        </w:rPr>
      </w:pPr>
      <w:r>
        <w:rPr>
          <w:rFonts w:ascii="Verdana" w:hAnsi="Verdana"/>
          <w:sz w:val="20"/>
          <w:szCs w:val="20"/>
          <w:lang w:eastAsia="ar-SA"/>
        </w:rPr>
        <w:tab/>
      </w:r>
      <w:proofErr w:type="gramStart"/>
      <w:r>
        <w:rPr>
          <w:rFonts w:ascii="Verdana" w:hAnsi="Verdana"/>
          <w:b/>
          <w:sz w:val="20"/>
          <w:szCs w:val="20"/>
          <w:lang w:eastAsia="ar-SA"/>
        </w:rPr>
        <w:t>QUINTO.-</w:t>
      </w:r>
      <w:proofErr w:type="gramEnd"/>
      <w:r>
        <w:rPr>
          <w:rFonts w:ascii="Verdana" w:hAnsi="Verdana"/>
          <w:sz w:val="20"/>
          <w:szCs w:val="20"/>
          <w:lang w:eastAsia="ar-SA"/>
        </w:rPr>
        <w:t xml:space="preserve"> </w:t>
      </w:r>
      <w:r>
        <w:rPr>
          <w:rFonts w:ascii="Verdana" w:hAnsi="Verdana"/>
          <w:b/>
          <w:sz w:val="20"/>
          <w:szCs w:val="20"/>
          <w:lang w:eastAsia="ar-SA"/>
        </w:rPr>
        <w:t>Anexo de Personal.</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Esta parte de la documentación presupuestaria servirá para que con ocasión de aprobación del presupuesto se apruebe la Plantilla o cuadro de personal, que se presenta subdividido en cuadro de funcionarios, cuadro de personal laboral indefinido y temporal.</w:t>
      </w:r>
    </w:p>
    <w:p w:rsidR="00BE67A3" w:rsidRDefault="00BE67A3" w:rsidP="00BE67A3">
      <w:pPr>
        <w:suppressAutoHyphens/>
        <w:ind w:firstLine="708"/>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La Plantilla de personal está vinculada al Presupuesto, por lo que será objeto de aprobación anual, y está integrada por las plazas dotadas presupuestariamente en el Capítulo I del Estado de Gastos. Los trámites establecidos para la modificación de éste se requieren para la modificación de la Plantilla.</w:t>
      </w:r>
    </w:p>
    <w:p w:rsidR="00BE67A3" w:rsidRDefault="00BE67A3" w:rsidP="00650CAC">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proofErr w:type="gramStart"/>
      <w:r>
        <w:rPr>
          <w:rFonts w:ascii="Verdana" w:hAnsi="Verdana"/>
          <w:b/>
          <w:sz w:val="20"/>
          <w:szCs w:val="20"/>
          <w:lang w:eastAsia="ar-SA"/>
        </w:rPr>
        <w:t>SEXTO.-</w:t>
      </w:r>
      <w:proofErr w:type="gramEnd"/>
      <w:r>
        <w:rPr>
          <w:rFonts w:ascii="Verdana" w:hAnsi="Verdana"/>
          <w:sz w:val="20"/>
          <w:szCs w:val="20"/>
          <w:lang w:eastAsia="ar-SA"/>
        </w:rPr>
        <w:t xml:space="preserve"> </w:t>
      </w:r>
      <w:r>
        <w:rPr>
          <w:rFonts w:ascii="Verdana" w:hAnsi="Verdana"/>
          <w:b/>
          <w:sz w:val="20"/>
          <w:szCs w:val="20"/>
          <w:lang w:eastAsia="ar-SA"/>
        </w:rPr>
        <w:t xml:space="preserve">Anexo de Inversiones </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Recoge las Inversiones previstas en el Capítulo VI del Estado de Gastos, y los recursos para financiarlas. Todas ellas finalizarán en el ejercicio 202</w:t>
      </w:r>
      <w:r w:rsidR="006C6D0D">
        <w:rPr>
          <w:rFonts w:ascii="Verdana" w:hAnsi="Verdana"/>
          <w:sz w:val="20"/>
          <w:szCs w:val="20"/>
          <w:lang w:eastAsia="ar-SA"/>
        </w:rPr>
        <w:t>4</w:t>
      </w:r>
      <w:r>
        <w:rPr>
          <w:rFonts w:ascii="Verdana" w:hAnsi="Verdana"/>
          <w:sz w:val="20"/>
          <w:szCs w:val="20"/>
          <w:lang w:eastAsia="ar-SA"/>
        </w:rPr>
        <w:t xml:space="preserve">. Cualquier otra aportación que se reciba para financiar dichas inversiones se incluirá en el presupuesto mediante la correspondiente </w:t>
      </w:r>
      <w:r>
        <w:rPr>
          <w:rFonts w:ascii="Verdana" w:hAnsi="Verdana"/>
          <w:sz w:val="20"/>
          <w:szCs w:val="20"/>
          <w:lang w:eastAsia="ar-SA"/>
        </w:rPr>
        <w:lastRenderedPageBreak/>
        <w:t>generación de crédito en el caso de subvenciones, y contablemente se tratará dicha inversión como un proyecto.</w:t>
      </w:r>
    </w:p>
    <w:p w:rsidR="00BE67A3" w:rsidRDefault="00BE67A3" w:rsidP="00BE67A3">
      <w:pPr>
        <w:suppressAutoHyphens/>
        <w:ind w:firstLine="708"/>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proofErr w:type="gramStart"/>
      <w:r>
        <w:rPr>
          <w:rFonts w:ascii="Verdana" w:hAnsi="Verdana"/>
          <w:b/>
          <w:sz w:val="20"/>
          <w:szCs w:val="20"/>
          <w:lang w:eastAsia="ar-SA"/>
        </w:rPr>
        <w:t>SÉPTIMO.-</w:t>
      </w:r>
      <w:proofErr w:type="gramEnd"/>
      <w:r>
        <w:rPr>
          <w:rFonts w:ascii="Verdana" w:hAnsi="Verdana"/>
          <w:sz w:val="20"/>
          <w:szCs w:val="20"/>
          <w:lang w:eastAsia="ar-SA"/>
        </w:rPr>
        <w:t xml:space="preserve"> </w:t>
      </w:r>
      <w:r>
        <w:rPr>
          <w:rFonts w:ascii="Verdana" w:hAnsi="Verdana"/>
          <w:b/>
          <w:sz w:val="20"/>
          <w:szCs w:val="20"/>
          <w:lang w:eastAsia="ar-SA"/>
        </w:rPr>
        <w:t>Anexo del Estado de la Deuda</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En este documento debe figurar la deuda comprensiva del detalle de las operaciones de crédito o de endeudamiento pendientes de reembolso al principio del ejercicio, las nuevas operaciones previstas a realizar a lo largo del mismo, el volumen de endeudamiento al cierre del ejercicio económico, así como las amortizaciones que se prevén realizar.</w:t>
      </w:r>
    </w:p>
    <w:p w:rsidR="00BE67A3" w:rsidRDefault="00BE67A3" w:rsidP="00BE67A3">
      <w:pPr>
        <w:suppressAutoHyphens/>
        <w:ind w:firstLine="708"/>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Asimismo, se incluye una relación del estado de la deuda por operaciones de tesorería, que se firmó durante el ejercicio 202</w:t>
      </w:r>
      <w:r w:rsidR="006C6D0D">
        <w:rPr>
          <w:rFonts w:ascii="Verdana" w:hAnsi="Verdana"/>
          <w:sz w:val="20"/>
          <w:szCs w:val="20"/>
          <w:lang w:eastAsia="ar-SA"/>
        </w:rPr>
        <w:t>3</w:t>
      </w:r>
      <w:r>
        <w:rPr>
          <w:rFonts w:ascii="Verdana" w:hAnsi="Verdana"/>
          <w:sz w:val="20"/>
          <w:szCs w:val="20"/>
          <w:lang w:eastAsia="ar-SA"/>
        </w:rPr>
        <w:t xml:space="preserve"> así como los reintegros de los PIE de 2008, 2009, 2020 y el anticipo reintegrable formalizado con Diputación Provincial de Ciudad Real por importe de 190.000€.</w:t>
      </w:r>
    </w:p>
    <w:p w:rsidR="00BE67A3" w:rsidRDefault="00BE67A3" w:rsidP="00BE67A3">
      <w:pPr>
        <w:suppressAutoHyphens/>
        <w:ind w:firstLine="708"/>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 xml:space="preserve">Por </w:t>
      </w:r>
      <w:proofErr w:type="spellStart"/>
      <w:r>
        <w:rPr>
          <w:rFonts w:ascii="Verdana" w:hAnsi="Verdana"/>
          <w:sz w:val="20"/>
          <w:szCs w:val="20"/>
          <w:lang w:eastAsia="ar-SA"/>
        </w:rPr>
        <w:t>ultimo</w:t>
      </w:r>
      <w:proofErr w:type="spellEnd"/>
      <w:r>
        <w:rPr>
          <w:rFonts w:ascii="Verdana" w:hAnsi="Verdana"/>
          <w:sz w:val="20"/>
          <w:szCs w:val="20"/>
          <w:lang w:eastAsia="ar-SA"/>
        </w:rPr>
        <w:t xml:space="preserve">, se incluye préstamo financiado a través del Fondo de Financiación de Entidades Locales </w:t>
      </w:r>
      <w:r w:rsidRPr="00BE67A3">
        <w:rPr>
          <w:rFonts w:ascii="Verdana" w:hAnsi="Verdana"/>
          <w:sz w:val="20"/>
          <w:szCs w:val="20"/>
          <w:lang w:eastAsia="ar-SA"/>
        </w:rPr>
        <w:t>para aplicar el incremento de retribuciones del 1,5 por ciento en 2022, respecto de 2021</w:t>
      </w:r>
      <w:r>
        <w:rPr>
          <w:rFonts w:ascii="Verdana" w:hAnsi="Verdana"/>
          <w:sz w:val="20"/>
          <w:szCs w:val="20"/>
          <w:lang w:eastAsia="ar-SA"/>
        </w:rPr>
        <w:t xml:space="preserve">, y con carácter retroactivo a 1 de enero de 2022, por importe de </w:t>
      </w:r>
      <w:r w:rsidRPr="00BE67A3">
        <w:rPr>
          <w:rFonts w:ascii="Verdana" w:hAnsi="Verdana"/>
          <w:sz w:val="20"/>
          <w:szCs w:val="20"/>
          <w:lang w:eastAsia="ar-SA"/>
        </w:rPr>
        <w:t>78.683,82€</w:t>
      </w:r>
      <w:r>
        <w:rPr>
          <w:rFonts w:ascii="Verdana" w:hAnsi="Verdana"/>
          <w:sz w:val="20"/>
          <w:szCs w:val="20"/>
          <w:lang w:eastAsia="ar-SA"/>
        </w:rPr>
        <w:t>, formalizado el 12 de diciembre de 2022, debiendo abonarse en el ejercicio 202</w:t>
      </w:r>
      <w:r w:rsidR="006C6D0D">
        <w:rPr>
          <w:rFonts w:ascii="Verdana" w:hAnsi="Verdana"/>
          <w:sz w:val="20"/>
          <w:szCs w:val="20"/>
          <w:lang w:eastAsia="ar-SA"/>
        </w:rPr>
        <w:t>4</w:t>
      </w:r>
      <w:r>
        <w:rPr>
          <w:rFonts w:ascii="Verdana" w:hAnsi="Verdana"/>
          <w:sz w:val="20"/>
          <w:szCs w:val="20"/>
          <w:lang w:eastAsia="ar-SA"/>
        </w:rPr>
        <w:t xml:space="preserve">, únicamente lo devengado en concepto de intereses, dado que, dicho préstamo tiene un periodo de carencia sobre capital de 2 anualidades. </w:t>
      </w:r>
    </w:p>
    <w:p w:rsidR="00BE67A3" w:rsidRDefault="00BE67A3" w:rsidP="00BE67A3">
      <w:pPr>
        <w:suppressAutoHyphens/>
        <w:ind w:firstLine="708"/>
        <w:jc w:val="both"/>
        <w:rPr>
          <w:rFonts w:ascii="Verdana" w:hAnsi="Verdana"/>
          <w:sz w:val="20"/>
          <w:szCs w:val="20"/>
          <w:lang w:eastAsia="ar-SA"/>
        </w:rPr>
      </w:pPr>
    </w:p>
    <w:p w:rsidR="00BE67A3" w:rsidRDefault="00BE67A3" w:rsidP="00BE67A3">
      <w:pPr>
        <w:suppressAutoHyphens/>
        <w:ind w:left="720"/>
        <w:jc w:val="both"/>
        <w:rPr>
          <w:rFonts w:ascii="Verdana" w:hAnsi="Verdana"/>
          <w:b/>
          <w:sz w:val="20"/>
          <w:szCs w:val="20"/>
          <w:lang w:eastAsia="ar-SA"/>
        </w:rPr>
      </w:pPr>
    </w:p>
    <w:p w:rsidR="00BE67A3" w:rsidRDefault="00BE67A3" w:rsidP="00BE67A3">
      <w:pPr>
        <w:suppressAutoHyphens/>
        <w:ind w:left="720"/>
        <w:jc w:val="both"/>
        <w:rPr>
          <w:rFonts w:ascii="Verdana" w:hAnsi="Verdana"/>
          <w:sz w:val="20"/>
          <w:szCs w:val="20"/>
          <w:lang w:eastAsia="ar-SA"/>
        </w:rPr>
      </w:pPr>
      <w:proofErr w:type="gramStart"/>
      <w:r>
        <w:rPr>
          <w:rFonts w:ascii="Verdana" w:hAnsi="Verdana"/>
          <w:b/>
          <w:sz w:val="20"/>
          <w:szCs w:val="20"/>
          <w:lang w:eastAsia="ar-SA"/>
        </w:rPr>
        <w:t>OCTAVO.-</w:t>
      </w:r>
      <w:proofErr w:type="gramEnd"/>
      <w:r>
        <w:rPr>
          <w:rFonts w:ascii="Verdana" w:hAnsi="Verdana"/>
          <w:b/>
          <w:sz w:val="20"/>
          <w:szCs w:val="20"/>
          <w:lang w:eastAsia="ar-SA"/>
        </w:rPr>
        <w:t xml:space="preserve"> </w:t>
      </w:r>
      <w:r>
        <w:rPr>
          <w:rFonts w:ascii="Verdana" w:hAnsi="Verdana" w:cs="Arial"/>
          <w:b/>
          <w:sz w:val="20"/>
          <w:szCs w:val="20"/>
          <w:lang w:val="es-ES_tradnl" w:eastAsia="ar-SA"/>
        </w:rPr>
        <w:t>Anexo con información relativa a los convenios suscritos con las Comunidades Autónomas en materia de gasto social</w:t>
      </w:r>
    </w:p>
    <w:p w:rsidR="00BE67A3" w:rsidRDefault="00BE67A3" w:rsidP="00BE67A3">
      <w:pPr>
        <w:suppressAutoHyphens/>
        <w:ind w:firstLine="708"/>
        <w:jc w:val="both"/>
        <w:rPr>
          <w:rFonts w:ascii="Verdana" w:hAnsi="Verdana"/>
          <w:b/>
          <w:sz w:val="20"/>
          <w:szCs w:val="20"/>
          <w:lang w:eastAsia="ar-SA"/>
        </w:rPr>
      </w:pPr>
    </w:p>
    <w:p w:rsidR="00BE67A3" w:rsidRDefault="00BE67A3" w:rsidP="00BE67A3">
      <w:pPr>
        <w:suppressAutoHyphens/>
        <w:ind w:right="9" w:firstLine="708"/>
        <w:jc w:val="both"/>
        <w:rPr>
          <w:rFonts w:ascii="Verdana" w:hAnsi="Verdana" w:cs="Arial"/>
          <w:sz w:val="20"/>
          <w:szCs w:val="20"/>
          <w:lang w:val="es-ES_tradnl" w:eastAsia="ar-SA"/>
        </w:rPr>
      </w:pPr>
      <w:r>
        <w:rPr>
          <w:rFonts w:ascii="Verdana" w:hAnsi="Verdana" w:cs="Arial"/>
          <w:sz w:val="20"/>
          <w:szCs w:val="20"/>
          <w:lang w:eastAsia="ar-SA"/>
        </w:rPr>
        <w:t xml:space="preserve">El presente documento se incluyó como anexo al presupuesto tras la modificación del artículo 168 del TRLRHL </w:t>
      </w:r>
      <w:r>
        <w:rPr>
          <w:rFonts w:ascii="Verdana" w:hAnsi="Verdana" w:cs="Lucida Sans Unicode"/>
          <w:sz w:val="20"/>
          <w:szCs w:val="20"/>
          <w:shd w:val="clear" w:color="auto" w:fill="FFFFFF"/>
          <w:lang w:eastAsia="ar-SA"/>
        </w:rPr>
        <w:t xml:space="preserve">por el apartado dos de la disposición final primera del R.D.-ley 17/2014, de 26 de diciembre, de medidas de sostenibilidad financiera de las comunidades autónomas y entidades locales y otras de carácter económico. En el mismo se </w:t>
      </w:r>
      <w:r>
        <w:rPr>
          <w:rFonts w:ascii="Verdana" w:hAnsi="Verdana" w:cs="Arial"/>
          <w:sz w:val="20"/>
          <w:szCs w:val="20"/>
          <w:lang w:val="es-ES_tradnl" w:eastAsia="ar-SA"/>
        </w:rPr>
        <w:t>especifica la cuantía de las obligaciones de pago y de los derechos económicos que se deben reconocer en el ejercicio al que se refiere el presupuesto general y de las obligaciones pendientes de pago y derechos económicos pendientes de cobro, reconocidos en ejercicios anteriores, así como de la aplicación o partida presupuestaria en la que se recogen, y la referencia a que dichos convenios incluyen la cláusula de retención de recursos del sistema de financiación a la que se refiere el artículo 57 bis de la Ley 7/1985, de 2 de abril, reguladora de las Bases del Régimen Local.</w:t>
      </w:r>
    </w:p>
    <w:p w:rsidR="00BE67A3" w:rsidRDefault="00BE67A3" w:rsidP="00BE67A3">
      <w:pPr>
        <w:suppressAutoHyphens/>
        <w:ind w:firstLine="708"/>
        <w:jc w:val="both"/>
        <w:rPr>
          <w:rFonts w:ascii="Verdana" w:hAnsi="Verdana"/>
          <w:b/>
          <w:sz w:val="20"/>
          <w:szCs w:val="20"/>
          <w:lang w:val="es-ES_tradnl" w:eastAsia="ar-SA"/>
        </w:rPr>
      </w:pPr>
    </w:p>
    <w:p w:rsidR="00BE67A3" w:rsidRDefault="00BE67A3" w:rsidP="00BE67A3">
      <w:pPr>
        <w:suppressAutoHyphens/>
        <w:ind w:firstLine="708"/>
        <w:jc w:val="both"/>
        <w:rPr>
          <w:rFonts w:ascii="Verdana" w:hAnsi="Verdana"/>
          <w:b/>
          <w:sz w:val="20"/>
          <w:szCs w:val="20"/>
          <w:lang w:eastAsia="ar-SA"/>
        </w:rPr>
      </w:pPr>
    </w:p>
    <w:p w:rsidR="00BE67A3" w:rsidRDefault="00BE67A3" w:rsidP="00BE67A3">
      <w:pPr>
        <w:suppressAutoHyphens/>
        <w:ind w:firstLine="708"/>
        <w:jc w:val="both"/>
        <w:rPr>
          <w:rFonts w:ascii="Verdana" w:hAnsi="Verdana" w:cs="Lucida Sans Unicode"/>
          <w:b/>
          <w:sz w:val="20"/>
          <w:szCs w:val="20"/>
          <w:shd w:val="clear" w:color="auto" w:fill="FFFFFF"/>
          <w:lang w:eastAsia="ar-SA"/>
        </w:rPr>
      </w:pPr>
      <w:proofErr w:type="gramStart"/>
      <w:r>
        <w:rPr>
          <w:rFonts w:ascii="Verdana" w:hAnsi="Verdana"/>
          <w:b/>
          <w:sz w:val="20"/>
          <w:szCs w:val="20"/>
          <w:lang w:eastAsia="ar-SA"/>
        </w:rPr>
        <w:t>NOVENO.-</w:t>
      </w:r>
      <w:proofErr w:type="gramEnd"/>
      <w:r>
        <w:rPr>
          <w:rFonts w:ascii="Verdana" w:hAnsi="Verdana"/>
          <w:b/>
          <w:sz w:val="20"/>
          <w:szCs w:val="20"/>
          <w:lang w:eastAsia="ar-SA"/>
        </w:rPr>
        <w:t xml:space="preserve"> </w:t>
      </w:r>
      <w:r>
        <w:rPr>
          <w:rFonts w:ascii="Verdana" w:hAnsi="Verdana" w:cs="Lucida Sans Unicode"/>
          <w:b/>
          <w:sz w:val="20"/>
          <w:szCs w:val="20"/>
          <w:shd w:val="clear" w:color="auto" w:fill="FFFFFF"/>
          <w:lang w:eastAsia="ar-SA"/>
        </w:rPr>
        <w:t>Anexo de beneficios fiscales en tributos locales conteniendo información detallada de los beneficios fiscales y su incidencia en los ingresos de cada Entidad Local.</w:t>
      </w:r>
    </w:p>
    <w:p w:rsidR="00BE67A3" w:rsidRDefault="00BE67A3" w:rsidP="00BE67A3">
      <w:pPr>
        <w:suppressAutoHyphens/>
        <w:ind w:firstLine="708"/>
        <w:jc w:val="both"/>
        <w:rPr>
          <w:rFonts w:ascii="Verdana" w:hAnsi="Verdana" w:cs="Lucida Sans Unicode"/>
          <w:color w:val="222222"/>
          <w:sz w:val="20"/>
          <w:szCs w:val="20"/>
          <w:shd w:val="clear" w:color="auto" w:fill="FFFFFF"/>
          <w:lang w:eastAsia="ar-SA"/>
        </w:rPr>
      </w:pPr>
    </w:p>
    <w:p w:rsidR="00BE67A3" w:rsidRDefault="00BE67A3" w:rsidP="00BE67A3">
      <w:pPr>
        <w:suppressAutoHyphens/>
        <w:ind w:firstLine="708"/>
        <w:jc w:val="both"/>
        <w:rPr>
          <w:rFonts w:ascii="Verdana" w:hAnsi="Verdana" w:cs="Lucida Sans Unicode"/>
          <w:color w:val="222222"/>
          <w:sz w:val="20"/>
          <w:szCs w:val="20"/>
          <w:shd w:val="clear" w:color="auto" w:fill="FFFFFF"/>
          <w:lang w:eastAsia="ar-SA"/>
        </w:rPr>
      </w:pPr>
      <w:r>
        <w:rPr>
          <w:rFonts w:ascii="Verdana" w:hAnsi="Verdana" w:cs="Lucida Sans Unicode"/>
          <w:color w:val="222222"/>
          <w:sz w:val="20"/>
          <w:szCs w:val="20"/>
          <w:shd w:val="clear" w:color="auto" w:fill="FFFFFF"/>
          <w:lang w:eastAsia="ar-SA"/>
        </w:rPr>
        <w:t xml:space="preserve">El presente anexo se incluyó tras la modificación legislativa citada en el punto anterior, </w:t>
      </w:r>
      <w:proofErr w:type="gramStart"/>
      <w:r>
        <w:rPr>
          <w:rFonts w:ascii="Verdana" w:hAnsi="Verdana" w:cs="Lucida Sans Unicode"/>
          <w:color w:val="222222"/>
          <w:sz w:val="20"/>
          <w:szCs w:val="20"/>
          <w:shd w:val="clear" w:color="auto" w:fill="FFFFFF"/>
          <w:lang w:eastAsia="ar-SA"/>
        </w:rPr>
        <w:t>y  consta</w:t>
      </w:r>
      <w:proofErr w:type="gramEnd"/>
      <w:r>
        <w:rPr>
          <w:rFonts w:ascii="Verdana" w:hAnsi="Verdana" w:cs="Lucida Sans Unicode"/>
          <w:color w:val="222222"/>
          <w:sz w:val="20"/>
          <w:szCs w:val="20"/>
          <w:shd w:val="clear" w:color="auto" w:fill="FFFFFF"/>
          <w:lang w:eastAsia="ar-SA"/>
        </w:rPr>
        <w:t xml:space="preserve"> en el proyecto presentado a fiscalización desglosado por tributo, bonificaciones aplicadas e incidencia en el presupuesto de ingresos.</w:t>
      </w:r>
    </w:p>
    <w:p w:rsidR="00BE67A3" w:rsidRDefault="00BE67A3" w:rsidP="00BE67A3">
      <w:pPr>
        <w:suppressAutoHyphens/>
        <w:jc w:val="both"/>
        <w:rPr>
          <w:rFonts w:ascii="Verdana" w:hAnsi="Verdana"/>
          <w:b/>
          <w:sz w:val="20"/>
          <w:szCs w:val="20"/>
          <w:lang w:eastAsia="ar-SA"/>
        </w:rPr>
      </w:pPr>
    </w:p>
    <w:p w:rsidR="00BE67A3" w:rsidRDefault="00BE67A3" w:rsidP="00BE67A3">
      <w:pPr>
        <w:suppressAutoHyphens/>
        <w:ind w:firstLine="708"/>
        <w:jc w:val="both"/>
        <w:rPr>
          <w:rFonts w:ascii="Verdana" w:hAnsi="Verdana"/>
          <w:b/>
          <w:sz w:val="20"/>
          <w:szCs w:val="20"/>
          <w:lang w:eastAsia="ar-SA"/>
        </w:rPr>
      </w:pPr>
    </w:p>
    <w:p w:rsidR="00BE67A3" w:rsidRDefault="00BE67A3" w:rsidP="00BE67A3">
      <w:pPr>
        <w:suppressAutoHyphens/>
        <w:ind w:firstLine="708"/>
        <w:jc w:val="both"/>
        <w:rPr>
          <w:rFonts w:ascii="Verdana" w:hAnsi="Verdana"/>
          <w:b/>
          <w:sz w:val="20"/>
          <w:szCs w:val="20"/>
          <w:lang w:eastAsia="ar-SA"/>
        </w:rPr>
      </w:pPr>
      <w:proofErr w:type="gramStart"/>
      <w:r>
        <w:rPr>
          <w:rFonts w:ascii="Verdana" w:hAnsi="Verdana"/>
          <w:b/>
          <w:sz w:val="20"/>
          <w:szCs w:val="20"/>
          <w:lang w:eastAsia="ar-SA"/>
        </w:rPr>
        <w:t>DÉCIMO.-</w:t>
      </w:r>
      <w:proofErr w:type="gramEnd"/>
      <w:r>
        <w:rPr>
          <w:rFonts w:ascii="Verdana" w:hAnsi="Verdana"/>
          <w:b/>
          <w:sz w:val="20"/>
          <w:szCs w:val="20"/>
          <w:lang w:eastAsia="ar-SA"/>
        </w:rPr>
        <w:t xml:space="preserve"> Informe Económico Financiero</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 xml:space="preserve">Documento suscrito por el </w:t>
      </w:r>
      <w:proofErr w:type="gramStart"/>
      <w:r>
        <w:rPr>
          <w:rFonts w:ascii="Verdana" w:hAnsi="Verdana"/>
          <w:sz w:val="20"/>
          <w:szCs w:val="20"/>
          <w:lang w:eastAsia="ar-SA"/>
        </w:rPr>
        <w:t>Alcalde</w:t>
      </w:r>
      <w:proofErr w:type="gramEnd"/>
      <w:r>
        <w:rPr>
          <w:rFonts w:ascii="Verdana" w:hAnsi="Verdana"/>
          <w:sz w:val="20"/>
          <w:szCs w:val="20"/>
          <w:lang w:eastAsia="ar-SA"/>
        </w:rPr>
        <w:t>-Presidente que trata de informar de los extremos previstos en el art. 168.1.e) del TRLHL, las bases utilizadas para la evaluación de los ingresos y de las operaciones de crédito previstas, la suficiencia de los créditos para atender el cumplimiento de las obligaciones exigibles y los gastos de funcionamiento de los servicios, y en consecuencia, la efectiva nivelación del presupuesto.</w:t>
      </w:r>
    </w:p>
    <w:p w:rsidR="00BE67A3" w:rsidRDefault="00BE67A3" w:rsidP="00BE67A3">
      <w:pPr>
        <w:suppressAutoHyphens/>
        <w:ind w:firstLine="708"/>
        <w:jc w:val="both"/>
        <w:rPr>
          <w:rFonts w:ascii="Verdana" w:hAnsi="Verdana"/>
          <w:sz w:val="20"/>
          <w:szCs w:val="20"/>
          <w:lang w:eastAsia="ar-SA"/>
        </w:rPr>
      </w:pPr>
    </w:p>
    <w:p w:rsidR="00BE67A3" w:rsidRDefault="00BE67A3" w:rsidP="00BE67A3">
      <w:pPr>
        <w:suppressAutoHyphens/>
        <w:jc w:val="both"/>
        <w:rPr>
          <w:rFonts w:ascii="Verdana" w:hAnsi="Verdana" w:cs="Arial"/>
          <w:b/>
          <w:bCs/>
          <w:sz w:val="20"/>
          <w:szCs w:val="20"/>
          <w:lang w:eastAsia="ar-SA"/>
        </w:rPr>
      </w:pPr>
      <w:r>
        <w:rPr>
          <w:rFonts w:ascii="Verdana" w:hAnsi="Verdana" w:cs="Arial"/>
          <w:spacing w:val="-3"/>
          <w:sz w:val="20"/>
          <w:szCs w:val="20"/>
          <w:lang w:val="es-ES_tradnl" w:eastAsia="ar-SA"/>
        </w:rPr>
        <w:lastRenderedPageBreak/>
        <w:tab/>
        <w:t>El total previsto de gastos asciende a</w:t>
      </w:r>
      <w:r>
        <w:rPr>
          <w:rFonts w:ascii="Verdana" w:hAnsi="Verdana" w:cs="Arial"/>
          <w:color w:val="FF0000"/>
          <w:spacing w:val="-3"/>
          <w:sz w:val="20"/>
          <w:szCs w:val="20"/>
          <w:lang w:val="es-ES_tradnl" w:eastAsia="ar-SA"/>
        </w:rPr>
        <w:t xml:space="preserve"> </w:t>
      </w:r>
      <w:r w:rsidRPr="00BE67A3">
        <w:rPr>
          <w:rFonts w:ascii="Verdana" w:hAnsi="Verdana" w:cs="Arial"/>
          <w:spacing w:val="-3"/>
          <w:sz w:val="20"/>
          <w:szCs w:val="20"/>
          <w:lang w:val="es-ES_tradnl" w:eastAsia="ar-SA"/>
        </w:rPr>
        <w:t>1</w:t>
      </w:r>
      <w:r w:rsidR="00650CAC">
        <w:rPr>
          <w:rFonts w:ascii="Verdana" w:hAnsi="Verdana" w:cs="Arial"/>
          <w:spacing w:val="-3"/>
          <w:sz w:val="20"/>
          <w:szCs w:val="20"/>
          <w:lang w:val="es-ES_tradnl" w:eastAsia="ar-SA"/>
        </w:rPr>
        <w:t>2.</w:t>
      </w:r>
      <w:r w:rsidR="00B77ACF">
        <w:rPr>
          <w:rFonts w:ascii="Verdana" w:hAnsi="Verdana" w:cs="Arial"/>
          <w:spacing w:val="-3"/>
          <w:sz w:val="20"/>
          <w:szCs w:val="20"/>
          <w:lang w:val="es-ES_tradnl" w:eastAsia="ar-SA"/>
        </w:rPr>
        <w:t>107.802,42</w:t>
      </w:r>
      <w:r w:rsidRPr="00BE67A3">
        <w:rPr>
          <w:rFonts w:ascii="Verdana" w:hAnsi="Verdana" w:cs="Arial"/>
          <w:spacing w:val="-3"/>
          <w:sz w:val="20"/>
          <w:szCs w:val="20"/>
          <w:lang w:val="es-ES_tradnl" w:eastAsia="ar-SA"/>
        </w:rPr>
        <w:t>€ y el total previsto de Ingresos suma la cuantía de 1</w:t>
      </w:r>
      <w:r w:rsidR="00650CAC">
        <w:rPr>
          <w:rFonts w:ascii="Verdana" w:hAnsi="Verdana" w:cs="Arial"/>
          <w:spacing w:val="-3"/>
          <w:sz w:val="20"/>
          <w:szCs w:val="20"/>
          <w:lang w:val="es-ES_tradnl" w:eastAsia="ar-SA"/>
        </w:rPr>
        <w:t>2.</w:t>
      </w:r>
      <w:r w:rsidR="00A616BF">
        <w:rPr>
          <w:rFonts w:ascii="Verdana" w:hAnsi="Verdana" w:cs="Arial"/>
          <w:spacing w:val="-3"/>
          <w:sz w:val="20"/>
          <w:szCs w:val="20"/>
          <w:lang w:val="es-ES_tradnl" w:eastAsia="ar-SA"/>
        </w:rPr>
        <w:t>1</w:t>
      </w:r>
      <w:r w:rsidR="00B77ACF">
        <w:rPr>
          <w:rFonts w:ascii="Verdana" w:hAnsi="Verdana" w:cs="Arial"/>
          <w:spacing w:val="-3"/>
          <w:sz w:val="20"/>
          <w:szCs w:val="20"/>
          <w:lang w:val="es-ES_tradnl" w:eastAsia="ar-SA"/>
        </w:rPr>
        <w:t>87</w:t>
      </w:r>
      <w:r w:rsidR="00A616BF">
        <w:rPr>
          <w:rFonts w:ascii="Verdana" w:hAnsi="Verdana" w:cs="Arial"/>
          <w:spacing w:val="-3"/>
          <w:sz w:val="20"/>
          <w:szCs w:val="20"/>
          <w:lang w:val="es-ES_tradnl" w:eastAsia="ar-SA"/>
        </w:rPr>
        <w:t>.613,19</w:t>
      </w:r>
      <w:r w:rsidRPr="00BE67A3">
        <w:rPr>
          <w:rFonts w:ascii="Verdana" w:hAnsi="Verdana" w:cs="Arial"/>
          <w:spacing w:val="-3"/>
          <w:sz w:val="20"/>
          <w:szCs w:val="20"/>
          <w:lang w:val="es-ES_tradnl" w:eastAsia="ar-SA"/>
        </w:rPr>
        <w:t>€. Por lo tanto, se</w:t>
      </w:r>
      <w:r>
        <w:rPr>
          <w:rFonts w:ascii="Verdana" w:hAnsi="Verdana" w:cs="Arial"/>
          <w:spacing w:val="-3"/>
          <w:sz w:val="20"/>
          <w:szCs w:val="20"/>
          <w:lang w:val="es-ES_tradnl" w:eastAsia="ar-SA"/>
        </w:rPr>
        <w:t xml:space="preserve"> presenta al Pleno un presupuesto en situación de </w:t>
      </w:r>
      <w:r w:rsidR="00650CAC">
        <w:rPr>
          <w:rFonts w:ascii="Verdana" w:hAnsi="Verdana" w:cs="Arial"/>
          <w:spacing w:val="-3"/>
          <w:sz w:val="20"/>
          <w:szCs w:val="20"/>
          <w:lang w:val="es-ES_tradnl" w:eastAsia="ar-SA"/>
        </w:rPr>
        <w:t xml:space="preserve">superávit </w:t>
      </w:r>
      <w:r>
        <w:rPr>
          <w:rFonts w:ascii="Verdana" w:hAnsi="Verdana" w:cs="Arial"/>
          <w:spacing w:val="-3"/>
          <w:sz w:val="20"/>
          <w:szCs w:val="20"/>
          <w:lang w:val="es-ES_tradnl" w:eastAsia="ar-SA"/>
        </w:rPr>
        <w:t>presupuestario.</w:t>
      </w:r>
    </w:p>
    <w:p w:rsidR="00BE67A3" w:rsidRDefault="00BE67A3" w:rsidP="00BE67A3">
      <w:pPr>
        <w:suppressAutoHyphens/>
        <w:jc w:val="both"/>
        <w:rPr>
          <w:rFonts w:ascii="Verdana" w:hAnsi="Verdana" w:cs="Arial"/>
          <w:spacing w:val="-3"/>
          <w:sz w:val="20"/>
          <w:szCs w:val="20"/>
          <w:lang w:val="es-ES_tradnl" w:eastAsia="ar-SA"/>
        </w:rPr>
      </w:pPr>
    </w:p>
    <w:p w:rsidR="00BE67A3" w:rsidRDefault="00BE67A3" w:rsidP="00BE67A3">
      <w:pPr>
        <w:spacing w:after="120"/>
        <w:jc w:val="both"/>
        <w:rPr>
          <w:rFonts w:ascii="Verdana" w:hAnsi="Verdana" w:cs="Arial"/>
          <w:sz w:val="20"/>
          <w:szCs w:val="20"/>
        </w:rPr>
      </w:pPr>
      <w:r>
        <w:rPr>
          <w:rFonts w:ascii="Verdana" w:hAnsi="Verdana" w:cs="Arial"/>
          <w:sz w:val="20"/>
          <w:szCs w:val="20"/>
        </w:rPr>
        <w:tab/>
        <w:t>Se cumple por tanto lo dispuesto en el art. 165.4 del Texto Refundido de la Ley Reguladora de las Haciendas Locales de no incurrir en déficit inicial.</w:t>
      </w:r>
    </w:p>
    <w:p w:rsidR="00BE67A3" w:rsidRDefault="00BE67A3" w:rsidP="00BE67A3">
      <w:pPr>
        <w:suppressAutoHyphens/>
        <w:jc w:val="both"/>
        <w:rPr>
          <w:rFonts w:ascii="Verdana" w:hAnsi="Verdana"/>
          <w:b/>
          <w:sz w:val="20"/>
          <w:szCs w:val="20"/>
          <w:lang w:eastAsia="ar-SA"/>
        </w:rPr>
      </w:pPr>
    </w:p>
    <w:p w:rsidR="00BE67A3" w:rsidRDefault="00BE67A3" w:rsidP="00650CAC">
      <w:pPr>
        <w:suppressAutoHyphens/>
        <w:ind w:firstLine="708"/>
        <w:jc w:val="both"/>
        <w:rPr>
          <w:rFonts w:ascii="Verdana" w:hAnsi="Verdana"/>
          <w:b/>
          <w:sz w:val="20"/>
          <w:szCs w:val="20"/>
          <w:lang w:eastAsia="ar-SA"/>
        </w:rPr>
      </w:pPr>
      <w:proofErr w:type="gramStart"/>
      <w:r>
        <w:rPr>
          <w:rFonts w:ascii="Verdana" w:hAnsi="Verdana"/>
          <w:b/>
          <w:sz w:val="20"/>
          <w:szCs w:val="20"/>
          <w:lang w:eastAsia="ar-SA"/>
        </w:rPr>
        <w:t>NOVENO.-</w:t>
      </w:r>
      <w:proofErr w:type="gramEnd"/>
      <w:r>
        <w:rPr>
          <w:rFonts w:ascii="Verdana" w:hAnsi="Verdana"/>
          <w:b/>
          <w:sz w:val="20"/>
          <w:szCs w:val="20"/>
          <w:lang w:eastAsia="ar-SA"/>
        </w:rPr>
        <w:t xml:space="preserve"> Estado de Gastos e Ingresos</w:t>
      </w:r>
    </w:p>
    <w:p w:rsidR="00650CAC" w:rsidRPr="00650CAC" w:rsidRDefault="00650CAC" w:rsidP="00650CAC">
      <w:pPr>
        <w:suppressAutoHyphens/>
        <w:ind w:firstLine="708"/>
        <w:jc w:val="both"/>
        <w:rPr>
          <w:rFonts w:ascii="Verdana" w:hAnsi="Verdana"/>
          <w:b/>
          <w:sz w:val="20"/>
          <w:szCs w:val="20"/>
          <w:lang w:eastAsia="ar-SA"/>
        </w:rPr>
      </w:pPr>
    </w:p>
    <w:p w:rsidR="00BE67A3" w:rsidRDefault="00BE67A3" w:rsidP="00A616BF">
      <w:pPr>
        <w:widowControl w:val="0"/>
        <w:suppressAutoHyphens/>
        <w:ind w:right="11" w:firstLine="708"/>
        <w:jc w:val="both"/>
        <w:rPr>
          <w:rFonts w:ascii="Verdana" w:hAnsi="Verdana" w:cs="Arial"/>
          <w:sz w:val="20"/>
          <w:szCs w:val="20"/>
          <w:lang w:val="es-ES_tradnl" w:eastAsia="ar-SA"/>
        </w:rPr>
      </w:pPr>
      <w:r>
        <w:rPr>
          <w:rFonts w:ascii="Verdana" w:hAnsi="Verdana" w:cs="Arial"/>
          <w:sz w:val="20"/>
          <w:szCs w:val="20"/>
          <w:lang w:val="es-ES_tradnl" w:eastAsia="ar-SA"/>
        </w:rPr>
        <w:t xml:space="preserve">A modo de resumen, los estados de gastos e ingresos se adaptan a lo dispuesto en el siguiente cuadro: </w:t>
      </w:r>
    </w:p>
    <w:tbl>
      <w:tblPr>
        <w:tblW w:w="8300" w:type="dxa"/>
        <w:jc w:val="center"/>
        <w:tblCellMar>
          <w:left w:w="70" w:type="dxa"/>
          <w:right w:w="70" w:type="dxa"/>
        </w:tblCellMar>
        <w:tblLook w:val="04A0" w:firstRow="1" w:lastRow="0" w:firstColumn="1" w:lastColumn="0" w:noHBand="0" w:noVBand="1"/>
      </w:tblPr>
      <w:tblGrid>
        <w:gridCol w:w="709"/>
        <w:gridCol w:w="2346"/>
        <w:gridCol w:w="709"/>
        <w:gridCol w:w="1275"/>
        <w:gridCol w:w="2552"/>
        <w:gridCol w:w="709"/>
      </w:tblGrid>
      <w:tr w:rsidR="00BE67A3" w:rsidTr="00BE67A3">
        <w:trPr>
          <w:gridBefore w:val="1"/>
          <w:wBefore w:w="709" w:type="dxa"/>
          <w:trHeight w:val="255"/>
          <w:jc w:val="center"/>
        </w:trPr>
        <w:tc>
          <w:tcPr>
            <w:tcW w:w="3055" w:type="dxa"/>
            <w:gridSpan w:val="2"/>
            <w:noWrap/>
            <w:vAlign w:val="bottom"/>
          </w:tcPr>
          <w:p w:rsidR="00BE67A3" w:rsidRDefault="00BE67A3">
            <w:pPr>
              <w:rPr>
                <w:rFonts w:ascii="Verdana" w:hAnsi="Verdana" w:cs="Arial"/>
                <w:b/>
                <w:bCs/>
                <w:sz w:val="20"/>
                <w:szCs w:val="20"/>
              </w:rPr>
            </w:pPr>
          </w:p>
          <w:p w:rsidR="00BE67A3" w:rsidRDefault="00BE67A3">
            <w:pPr>
              <w:jc w:val="center"/>
              <w:rPr>
                <w:rFonts w:ascii="Verdana" w:hAnsi="Verdana" w:cs="Arial"/>
                <w:b/>
                <w:bCs/>
                <w:sz w:val="20"/>
                <w:szCs w:val="20"/>
              </w:rPr>
            </w:pPr>
            <w:r>
              <w:rPr>
                <w:rFonts w:ascii="Verdana" w:hAnsi="Verdana" w:cs="Arial"/>
                <w:b/>
                <w:bCs/>
                <w:sz w:val="20"/>
                <w:szCs w:val="20"/>
              </w:rPr>
              <w:t>PRESUPUESTO 202</w:t>
            </w:r>
            <w:r w:rsidR="00650CAC">
              <w:rPr>
                <w:rFonts w:ascii="Verdana" w:hAnsi="Verdana" w:cs="Arial"/>
                <w:b/>
                <w:bCs/>
                <w:sz w:val="20"/>
                <w:szCs w:val="20"/>
              </w:rPr>
              <w:t>4</w:t>
            </w:r>
          </w:p>
          <w:p w:rsidR="00BE67A3" w:rsidRDefault="00BE67A3">
            <w:pPr>
              <w:jc w:val="center"/>
              <w:rPr>
                <w:rFonts w:ascii="Verdana" w:hAnsi="Verdana" w:cs="Arial"/>
                <w:b/>
                <w:bCs/>
                <w:sz w:val="20"/>
                <w:szCs w:val="20"/>
              </w:rPr>
            </w:pPr>
          </w:p>
        </w:tc>
        <w:tc>
          <w:tcPr>
            <w:tcW w:w="4536" w:type="dxa"/>
            <w:gridSpan w:val="3"/>
            <w:noWrap/>
            <w:vAlign w:val="bottom"/>
          </w:tcPr>
          <w:p w:rsidR="00BE67A3" w:rsidRDefault="00BE67A3">
            <w:pPr>
              <w:jc w:val="center"/>
              <w:rPr>
                <w:rFonts w:ascii="Verdana" w:hAnsi="Verdana" w:cs="Arial"/>
                <w:b/>
                <w:bCs/>
                <w:sz w:val="20"/>
                <w:szCs w:val="20"/>
              </w:rPr>
            </w:pPr>
          </w:p>
          <w:p w:rsidR="00BE67A3" w:rsidRDefault="00BE67A3">
            <w:pPr>
              <w:jc w:val="center"/>
              <w:rPr>
                <w:rFonts w:ascii="Verdana" w:hAnsi="Verdana" w:cs="Arial"/>
                <w:b/>
                <w:bCs/>
                <w:sz w:val="20"/>
                <w:szCs w:val="20"/>
              </w:rPr>
            </w:pPr>
          </w:p>
          <w:p w:rsidR="00BE67A3" w:rsidRDefault="00BE67A3">
            <w:pPr>
              <w:jc w:val="center"/>
              <w:rPr>
                <w:rFonts w:ascii="Verdana" w:hAnsi="Verdana" w:cs="Arial"/>
                <w:b/>
                <w:bCs/>
                <w:sz w:val="20"/>
                <w:szCs w:val="20"/>
              </w:rPr>
            </w:pPr>
          </w:p>
          <w:p w:rsidR="00BE67A3" w:rsidRDefault="00BE67A3">
            <w:pPr>
              <w:jc w:val="center"/>
              <w:rPr>
                <w:rFonts w:ascii="Verdana" w:hAnsi="Verdana" w:cs="Arial"/>
                <w:b/>
                <w:bCs/>
                <w:sz w:val="20"/>
                <w:szCs w:val="20"/>
              </w:rPr>
            </w:pPr>
          </w:p>
          <w:p w:rsidR="00BE67A3" w:rsidRDefault="00BE67A3">
            <w:pPr>
              <w:jc w:val="center"/>
              <w:rPr>
                <w:rFonts w:ascii="Verdana" w:hAnsi="Verdana" w:cs="Arial"/>
                <w:b/>
                <w:bCs/>
                <w:sz w:val="20"/>
                <w:szCs w:val="20"/>
              </w:rPr>
            </w:pPr>
          </w:p>
          <w:p w:rsidR="00BE67A3" w:rsidRDefault="00BE67A3">
            <w:pPr>
              <w:jc w:val="center"/>
              <w:rPr>
                <w:rFonts w:ascii="Verdana" w:hAnsi="Verdana" w:cs="Arial"/>
                <w:b/>
                <w:bCs/>
                <w:sz w:val="20"/>
                <w:szCs w:val="20"/>
              </w:rPr>
            </w:pPr>
          </w:p>
        </w:tc>
      </w:tr>
      <w:tr w:rsidR="00BE67A3" w:rsidTr="00BE67A3">
        <w:trPr>
          <w:gridAfter w:val="1"/>
          <w:wAfter w:w="709" w:type="dxa"/>
          <w:trHeight w:val="765"/>
          <w:jc w:val="center"/>
        </w:trPr>
        <w:tc>
          <w:tcPr>
            <w:tcW w:w="3055" w:type="dxa"/>
            <w:gridSpan w:val="2"/>
            <w:tcBorders>
              <w:top w:val="nil"/>
              <w:left w:val="nil"/>
              <w:bottom w:val="single" w:sz="4" w:space="0" w:color="auto"/>
              <w:right w:val="single" w:sz="4" w:space="0" w:color="auto"/>
            </w:tcBorders>
            <w:noWrap/>
            <w:vAlign w:val="bottom"/>
            <w:hideMark/>
          </w:tcPr>
          <w:p w:rsidR="00BE67A3" w:rsidRDefault="00BE67A3">
            <w:pPr>
              <w:rPr>
                <w:rFonts w:ascii="Arial" w:hAnsi="Arial" w:cs="Arial"/>
                <w:sz w:val="20"/>
                <w:szCs w:val="20"/>
              </w:rPr>
            </w:pPr>
            <w:r>
              <w:rPr>
                <w:rFonts w:ascii="Arial" w:hAnsi="Arial" w:cs="Arial"/>
                <w:sz w:val="20"/>
                <w:szCs w:val="20"/>
              </w:rPr>
              <w:t> </w:t>
            </w:r>
          </w:p>
        </w:tc>
        <w:tc>
          <w:tcPr>
            <w:tcW w:w="1984" w:type="dxa"/>
            <w:gridSpan w:val="2"/>
            <w:tcBorders>
              <w:top w:val="single" w:sz="4" w:space="0" w:color="auto"/>
              <w:left w:val="nil"/>
              <w:bottom w:val="single" w:sz="4" w:space="0" w:color="auto"/>
              <w:right w:val="single" w:sz="4" w:space="0" w:color="auto"/>
            </w:tcBorders>
            <w:vAlign w:val="bottom"/>
            <w:hideMark/>
          </w:tcPr>
          <w:p w:rsidR="00BE67A3" w:rsidRDefault="00BE67A3">
            <w:pPr>
              <w:jc w:val="center"/>
              <w:rPr>
                <w:rFonts w:ascii="Arial" w:hAnsi="Arial" w:cs="Arial"/>
                <w:b/>
                <w:bCs/>
                <w:sz w:val="20"/>
                <w:szCs w:val="20"/>
              </w:rPr>
            </w:pPr>
            <w:r>
              <w:rPr>
                <w:rFonts w:ascii="Arial" w:hAnsi="Arial" w:cs="Arial"/>
                <w:b/>
                <w:bCs/>
                <w:sz w:val="20"/>
                <w:szCs w:val="20"/>
              </w:rPr>
              <w:t>PREVISIONES INICIALES INGRESOS</w:t>
            </w:r>
          </w:p>
        </w:tc>
        <w:tc>
          <w:tcPr>
            <w:tcW w:w="2552" w:type="dxa"/>
            <w:tcBorders>
              <w:top w:val="single" w:sz="4" w:space="0" w:color="auto"/>
              <w:left w:val="nil"/>
              <w:bottom w:val="single" w:sz="4" w:space="0" w:color="auto"/>
              <w:right w:val="single" w:sz="4" w:space="0" w:color="auto"/>
            </w:tcBorders>
            <w:vAlign w:val="bottom"/>
            <w:hideMark/>
          </w:tcPr>
          <w:p w:rsidR="00BE67A3" w:rsidRDefault="00BE67A3">
            <w:pPr>
              <w:jc w:val="center"/>
              <w:rPr>
                <w:rFonts w:ascii="Arial" w:hAnsi="Arial" w:cs="Arial"/>
                <w:b/>
                <w:bCs/>
                <w:sz w:val="20"/>
                <w:szCs w:val="20"/>
              </w:rPr>
            </w:pPr>
            <w:r>
              <w:rPr>
                <w:rFonts w:ascii="Arial" w:hAnsi="Arial" w:cs="Arial"/>
                <w:b/>
                <w:bCs/>
                <w:sz w:val="20"/>
                <w:szCs w:val="20"/>
              </w:rPr>
              <w:t>CRÉDITOS INICIALES GASTOS</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1</w:t>
            </w:r>
          </w:p>
        </w:tc>
        <w:tc>
          <w:tcPr>
            <w:tcW w:w="1984" w:type="dxa"/>
            <w:gridSpan w:val="2"/>
            <w:tcBorders>
              <w:top w:val="nil"/>
              <w:left w:val="nil"/>
              <w:bottom w:val="single" w:sz="8" w:space="0" w:color="auto"/>
              <w:right w:val="single" w:sz="8" w:space="0" w:color="auto"/>
            </w:tcBorders>
            <w:noWrap/>
            <w:hideMark/>
          </w:tcPr>
          <w:p w:rsidR="00BE67A3" w:rsidRDefault="00BE67A3">
            <w:pPr>
              <w:spacing w:after="120"/>
              <w:jc w:val="right"/>
              <w:rPr>
                <w:rFonts w:ascii="Verdana" w:hAnsi="Verdana" w:cs="Arial"/>
                <w:sz w:val="18"/>
                <w:szCs w:val="18"/>
              </w:rPr>
            </w:pPr>
            <w:r>
              <w:rPr>
                <w:rFonts w:ascii="Verdana" w:hAnsi="Verdana" w:cs="Arial"/>
                <w:sz w:val="18"/>
                <w:szCs w:val="18"/>
              </w:rPr>
              <w:t>4.</w:t>
            </w:r>
            <w:r w:rsidR="00650CAC">
              <w:rPr>
                <w:rFonts w:ascii="Verdana" w:hAnsi="Verdana" w:cs="Arial"/>
                <w:sz w:val="18"/>
                <w:szCs w:val="18"/>
              </w:rPr>
              <w:t>317</w:t>
            </w:r>
            <w:r>
              <w:rPr>
                <w:rFonts w:ascii="Verdana" w:hAnsi="Verdana" w:cs="Arial"/>
                <w:sz w:val="18"/>
                <w:szCs w:val="18"/>
              </w:rPr>
              <w:t>.</w:t>
            </w:r>
            <w:r w:rsidR="00650CAC">
              <w:rPr>
                <w:rFonts w:ascii="Verdana" w:hAnsi="Verdana" w:cs="Arial"/>
                <w:sz w:val="18"/>
                <w:szCs w:val="18"/>
              </w:rPr>
              <w:t>5</w:t>
            </w:r>
            <w:r>
              <w:rPr>
                <w:rFonts w:ascii="Verdana" w:hAnsi="Verdana" w:cs="Arial"/>
                <w:sz w:val="18"/>
                <w:szCs w:val="18"/>
              </w:rPr>
              <w:t>00,00 €</w:t>
            </w:r>
          </w:p>
        </w:tc>
        <w:tc>
          <w:tcPr>
            <w:tcW w:w="2552" w:type="dxa"/>
            <w:tcBorders>
              <w:top w:val="nil"/>
              <w:left w:val="nil"/>
              <w:bottom w:val="single" w:sz="8" w:space="0" w:color="auto"/>
              <w:right w:val="single" w:sz="8" w:space="0" w:color="auto"/>
            </w:tcBorders>
            <w:noWrap/>
            <w:hideMark/>
          </w:tcPr>
          <w:p w:rsidR="00BE67A3" w:rsidRDefault="00EF74DF">
            <w:pPr>
              <w:spacing w:after="120"/>
              <w:jc w:val="right"/>
              <w:rPr>
                <w:rFonts w:ascii="Verdana" w:hAnsi="Verdana" w:cs="Arial"/>
                <w:sz w:val="18"/>
                <w:szCs w:val="18"/>
              </w:rPr>
            </w:pPr>
            <w:r>
              <w:rPr>
                <w:rFonts w:ascii="Verdana" w:hAnsi="Verdana" w:cs="Arial"/>
                <w:sz w:val="18"/>
                <w:szCs w:val="18"/>
              </w:rPr>
              <w:t>6.</w:t>
            </w:r>
            <w:r w:rsidR="00997620">
              <w:rPr>
                <w:rFonts w:ascii="Verdana" w:hAnsi="Verdana" w:cs="Arial"/>
                <w:sz w:val="18"/>
                <w:szCs w:val="18"/>
              </w:rPr>
              <w:t>3</w:t>
            </w:r>
            <w:r w:rsidR="00B77ACF">
              <w:rPr>
                <w:rFonts w:ascii="Verdana" w:hAnsi="Verdana" w:cs="Arial"/>
                <w:sz w:val="18"/>
                <w:szCs w:val="18"/>
              </w:rPr>
              <w:t>06.637,09</w:t>
            </w:r>
            <w:r>
              <w:rPr>
                <w:rFonts w:ascii="Verdana" w:hAnsi="Verdana" w:cs="Arial"/>
                <w:sz w:val="18"/>
                <w:szCs w:val="18"/>
              </w:rPr>
              <w:t xml:space="preserve"> </w:t>
            </w:r>
            <w:r w:rsidR="00BE67A3">
              <w:rPr>
                <w:rFonts w:ascii="Verdana" w:hAnsi="Verdana" w:cs="Arial"/>
                <w:sz w:val="18"/>
                <w:szCs w:val="18"/>
              </w:rPr>
              <w:t>€</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2</w:t>
            </w:r>
          </w:p>
        </w:tc>
        <w:tc>
          <w:tcPr>
            <w:tcW w:w="1984" w:type="dxa"/>
            <w:gridSpan w:val="2"/>
            <w:tcBorders>
              <w:top w:val="nil"/>
              <w:left w:val="nil"/>
              <w:bottom w:val="single" w:sz="8" w:space="0" w:color="auto"/>
              <w:right w:val="single" w:sz="8" w:space="0" w:color="auto"/>
            </w:tcBorders>
            <w:noWrap/>
            <w:hideMark/>
          </w:tcPr>
          <w:p w:rsidR="00BE67A3" w:rsidRDefault="00BE67A3">
            <w:pPr>
              <w:spacing w:after="120"/>
              <w:jc w:val="right"/>
              <w:rPr>
                <w:rFonts w:ascii="Verdana" w:hAnsi="Verdana" w:cs="Arial"/>
                <w:sz w:val="18"/>
                <w:szCs w:val="18"/>
              </w:rPr>
            </w:pPr>
            <w:r>
              <w:rPr>
                <w:rFonts w:ascii="Verdana" w:hAnsi="Verdana" w:cs="Arial"/>
                <w:sz w:val="18"/>
                <w:szCs w:val="18"/>
              </w:rPr>
              <w:t>2</w:t>
            </w:r>
            <w:r w:rsidR="00650CAC">
              <w:rPr>
                <w:rFonts w:ascii="Verdana" w:hAnsi="Verdana" w:cs="Arial"/>
                <w:sz w:val="18"/>
                <w:szCs w:val="18"/>
              </w:rPr>
              <w:t>2</w:t>
            </w:r>
            <w:r>
              <w:rPr>
                <w:rFonts w:ascii="Verdana" w:hAnsi="Verdana" w:cs="Arial"/>
                <w:sz w:val="18"/>
                <w:szCs w:val="18"/>
              </w:rPr>
              <w:t>0.000,00 €</w:t>
            </w:r>
          </w:p>
        </w:tc>
        <w:tc>
          <w:tcPr>
            <w:tcW w:w="2552" w:type="dxa"/>
            <w:tcBorders>
              <w:top w:val="nil"/>
              <w:left w:val="nil"/>
              <w:bottom w:val="single" w:sz="8" w:space="0" w:color="auto"/>
              <w:right w:val="single" w:sz="8" w:space="0" w:color="auto"/>
            </w:tcBorders>
            <w:noWrap/>
            <w:hideMark/>
          </w:tcPr>
          <w:p w:rsidR="00BE67A3" w:rsidRDefault="00EF74DF">
            <w:pPr>
              <w:spacing w:after="120"/>
              <w:jc w:val="right"/>
              <w:rPr>
                <w:rFonts w:ascii="Verdana" w:hAnsi="Verdana" w:cs="Arial"/>
                <w:sz w:val="18"/>
                <w:szCs w:val="18"/>
              </w:rPr>
            </w:pPr>
            <w:r>
              <w:rPr>
                <w:rFonts w:ascii="Verdana" w:hAnsi="Verdana" w:cs="Arial"/>
                <w:sz w:val="18"/>
                <w:szCs w:val="18"/>
              </w:rPr>
              <w:t>5.</w:t>
            </w:r>
            <w:r w:rsidR="00997620">
              <w:rPr>
                <w:rFonts w:ascii="Verdana" w:hAnsi="Verdana" w:cs="Arial"/>
                <w:sz w:val="18"/>
                <w:szCs w:val="18"/>
              </w:rPr>
              <w:t>1</w:t>
            </w:r>
            <w:r w:rsidR="00B77ACF">
              <w:rPr>
                <w:rFonts w:ascii="Verdana" w:hAnsi="Verdana" w:cs="Arial"/>
                <w:sz w:val="18"/>
                <w:szCs w:val="18"/>
              </w:rPr>
              <w:t>59.483,89</w:t>
            </w:r>
            <w:r w:rsidR="00BE67A3">
              <w:rPr>
                <w:rFonts w:ascii="Verdana" w:hAnsi="Verdana" w:cs="Arial"/>
                <w:sz w:val="18"/>
                <w:szCs w:val="18"/>
              </w:rPr>
              <w:t xml:space="preserve"> €</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3</w:t>
            </w:r>
          </w:p>
        </w:tc>
        <w:tc>
          <w:tcPr>
            <w:tcW w:w="1984" w:type="dxa"/>
            <w:gridSpan w:val="2"/>
            <w:tcBorders>
              <w:top w:val="nil"/>
              <w:left w:val="nil"/>
              <w:bottom w:val="single" w:sz="8" w:space="0" w:color="auto"/>
              <w:right w:val="single" w:sz="8" w:space="0" w:color="auto"/>
            </w:tcBorders>
            <w:noWrap/>
            <w:hideMark/>
          </w:tcPr>
          <w:p w:rsidR="00BE67A3" w:rsidRDefault="00BE67A3">
            <w:pPr>
              <w:spacing w:after="120"/>
              <w:jc w:val="right"/>
              <w:rPr>
                <w:rFonts w:ascii="Verdana" w:hAnsi="Verdana" w:cs="Arial"/>
                <w:sz w:val="18"/>
                <w:szCs w:val="18"/>
              </w:rPr>
            </w:pPr>
            <w:r>
              <w:rPr>
                <w:rFonts w:ascii="Verdana" w:hAnsi="Verdana" w:cs="Arial"/>
                <w:sz w:val="18"/>
                <w:szCs w:val="18"/>
              </w:rPr>
              <w:t>3.1</w:t>
            </w:r>
            <w:r w:rsidR="00650CAC">
              <w:rPr>
                <w:rFonts w:ascii="Verdana" w:hAnsi="Verdana" w:cs="Arial"/>
                <w:sz w:val="18"/>
                <w:szCs w:val="18"/>
              </w:rPr>
              <w:t>8</w:t>
            </w:r>
            <w:r w:rsidR="00B77ACF">
              <w:rPr>
                <w:rFonts w:ascii="Verdana" w:hAnsi="Verdana" w:cs="Arial"/>
                <w:sz w:val="18"/>
                <w:szCs w:val="18"/>
              </w:rPr>
              <w:t>9</w:t>
            </w:r>
            <w:r>
              <w:rPr>
                <w:rFonts w:ascii="Verdana" w:hAnsi="Verdana" w:cs="Arial"/>
                <w:sz w:val="18"/>
                <w:szCs w:val="18"/>
              </w:rPr>
              <w:t>.</w:t>
            </w:r>
            <w:r w:rsidR="00650CAC">
              <w:rPr>
                <w:rFonts w:ascii="Verdana" w:hAnsi="Verdana" w:cs="Arial"/>
                <w:sz w:val="18"/>
                <w:szCs w:val="18"/>
              </w:rPr>
              <w:t>6</w:t>
            </w:r>
            <w:r>
              <w:rPr>
                <w:rFonts w:ascii="Verdana" w:hAnsi="Verdana" w:cs="Arial"/>
                <w:sz w:val="18"/>
                <w:szCs w:val="18"/>
              </w:rPr>
              <w:t>00,00 €</w:t>
            </w:r>
          </w:p>
        </w:tc>
        <w:tc>
          <w:tcPr>
            <w:tcW w:w="2552" w:type="dxa"/>
            <w:tcBorders>
              <w:top w:val="nil"/>
              <w:left w:val="nil"/>
              <w:bottom w:val="single" w:sz="8" w:space="0" w:color="auto"/>
              <w:right w:val="single" w:sz="8" w:space="0" w:color="auto"/>
            </w:tcBorders>
            <w:noWrap/>
            <w:hideMark/>
          </w:tcPr>
          <w:p w:rsidR="00BE67A3" w:rsidRDefault="00997620">
            <w:pPr>
              <w:spacing w:after="120"/>
              <w:jc w:val="right"/>
              <w:rPr>
                <w:rFonts w:ascii="Verdana" w:hAnsi="Verdana" w:cs="Arial"/>
                <w:sz w:val="18"/>
                <w:szCs w:val="18"/>
              </w:rPr>
            </w:pPr>
            <w:r>
              <w:rPr>
                <w:rFonts w:ascii="Verdana" w:hAnsi="Verdana" w:cs="Arial"/>
                <w:sz w:val="18"/>
                <w:szCs w:val="18"/>
              </w:rPr>
              <w:t>129.178</w:t>
            </w:r>
            <w:r w:rsidR="00BE67A3">
              <w:rPr>
                <w:rFonts w:ascii="Verdana" w:hAnsi="Verdana" w:cs="Arial"/>
                <w:sz w:val="18"/>
                <w:szCs w:val="18"/>
              </w:rPr>
              <w:t>,00 €</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4</w:t>
            </w:r>
          </w:p>
        </w:tc>
        <w:tc>
          <w:tcPr>
            <w:tcW w:w="1984" w:type="dxa"/>
            <w:gridSpan w:val="2"/>
            <w:tcBorders>
              <w:top w:val="nil"/>
              <w:left w:val="nil"/>
              <w:bottom w:val="single" w:sz="8" w:space="0" w:color="auto"/>
              <w:right w:val="single" w:sz="8" w:space="0" w:color="auto"/>
            </w:tcBorders>
            <w:noWrap/>
            <w:hideMark/>
          </w:tcPr>
          <w:p w:rsidR="00BE67A3" w:rsidRDefault="00BE67A3">
            <w:pPr>
              <w:spacing w:after="120"/>
              <w:jc w:val="right"/>
              <w:rPr>
                <w:rFonts w:ascii="Verdana" w:hAnsi="Verdana" w:cs="Arial"/>
                <w:sz w:val="18"/>
                <w:szCs w:val="18"/>
              </w:rPr>
            </w:pPr>
            <w:r>
              <w:rPr>
                <w:rFonts w:ascii="Verdana" w:hAnsi="Verdana" w:cs="Arial"/>
                <w:sz w:val="18"/>
                <w:szCs w:val="18"/>
              </w:rPr>
              <w:t>4.</w:t>
            </w:r>
            <w:r w:rsidR="00A616BF">
              <w:rPr>
                <w:rFonts w:ascii="Verdana" w:hAnsi="Verdana" w:cs="Arial"/>
                <w:sz w:val="18"/>
                <w:szCs w:val="18"/>
              </w:rPr>
              <w:t>416.113,19</w:t>
            </w:r>
            <w:r>
              <w:rPr>
                <w:rFonts w:ascii="Verdana" w:hAnsi="Verdana" w:cs="Arial"/>
                <w:sz w:val="18"/>
                <w:szCs w:val="18"/>
              </w:rPr>
              <w:t xml:space="preserve"> €</w:t>
            </w:r>
          </w:p>
        </w:tc>
        <w:tc>
          <w:tcPr>
            <w:tcW w:w="2552" w:type="dxa"/>
            <w:tcBorders>
              <w:top w:val="nil"/>
              <w:left w:val="nil"/>
              <w:bottom w:val="single" w:sz="8" w:space="0" w:color="auto"/>
              <w:right w:val="single" w:sz="8" w:space="0" w:color="auto"/>
            </w:tcBorders>
            <w:noWrap/>
            <w:hideMark/>
          </w:tcPr>
          <w:p w:rsidR="00BE67A3" w:rsidRDefault="00B77ACF">
            <w:pPr>
              <w:spacing w:after="120"/>
              <w:jc w:val="right"/>
              <w:rPr>
                <w:rFonts w:ascii="Verdana" w:hAnsi="Verdana" w:cs="Arial"/>
                <w:sz w:val="18"/>
                <w:szCs w:val="18"/>
              </w:rPr>
            </w:pPr>
            <w:r>
              <w:rPr>
                <w:rFonts w:ascii="Verdana" w:hAnsi="Verdana" w:cs="Arial"/>
                <w:sz w:val="18"/>
                <w:szCs w:val="18"/>
              </w:rPr>
              <w:t>302.350,00</w:t>
            </w:r>
            <w:r w:rsidR="00BE67A3">
              <w:rPr>
                <w:rFonts w:ascii="Verdana" w:hAnsi="Verdana" w:cs="Arial"/>
                <w:sz w:val="18"/>
                <w:szCs w:val="18"/>
              </w:rPr>
              <w:t xml:space="preserve"> €</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5</w:t>
            </w:r>
          </w:p>
        </w:tc>
        <w:tc>
          <w:tcPr>
            <w:tcW w:w="1984" w:type="dxa"/>
            <w:gridSpan w:val="2"/>
            <w:tcBorders>
              <w:top w:val="nil"/>
              <w:left w:val="nil"/>
              <w:bottom w:val="single" w:sz="8" w:space="0" w:color="auto"/>
              <w:right w:val="single" w:sz="8" w:space="0" w:color="auto"/>
            </w:tcBorders>
            <w:noWrap/>
            <w:hideMark/>
          </w:tcPr>
          <w:p w:rsidR="00BE67A3" w:rsidRDefault="00650CAC">
            <w:pPr>
              <w:spacing w:after="120"/>
              <w:jc w:val="right"/>
              <w:rPr>
                <w:rFonts w:ascii="Verdana" w:hAnsi="Verdana" w:cs="Arial"/>
                <w:sz w:val="18"/>
                <w:szCs w:val="18"/>
              </w:rPr>
            </w:pPr>
            <w:r>
              <w:rPr>
                <w:rFonts w:ascii="Verdana" w:hAnsi="Verdana" w:cs="Arial"/>
                <w:sz w:val="18"/>
                <w:szCs w:val="18"/>
              </w:rPr>
              <w:t>3</w:t>
            </w:r>
            <w:r w:rsidR="00B77ACF">
              <w:rPr>
                <w:rFonts w:ascii="Verdana" w:hAnsi="Verdana" w:cs="Arial"/>
                <w:sz w:val="18"/>
                <w:szCs w:val="18"/>
              </w:rPr>
              <w:t>9</w:t>
            </w:r>
            <w:r>
              <w:rPr>
                <w:rFonts w:ascii="Verdana" w:hAnsi="Verdana" w:cs="Arial"/>
                <w:sz w:val="18"/>
                <w:szCs w:val="18"/>
              </w:rPr>
              <w:t>.400,00</w:t>
            </w:r>
            <w:r w:rsidR="00BE67A3">
              <w:rPr>
                <w:rFonts w:ascii="Verdana" w:hAnsi="Verdana" w:cs="Arial"/>
                <w:sz w:val="18"/>
                <w:szCs w:val="18"/>
              </w:rPr>
              <w:t xml:space="preserve"> €</w:t>
            </w:r>
          </w:p>
        </w:tc>
        <w:tc>
          <w:tcPr>
            <w:tcW w:w="2552" w:type="dxa"/>
            <w:tcBorders>
              <w:top w:val="nil"/>
              <w:left w:val="nil"/>
              <w:bottom w:val="single" w:sz="8" w:space="0" w:color="auto"/>
              <w:right w:val="single" w:sz="8" w:space="0" w:color="auto"/>
            </w:tcBorders>
            <w:noWrap/>
            <w:hideMark/>
          </w:tcPr>
          <w:p w:rsidR="00BE67A3" w:rsidRDefault="00997620">
            <w:pPr>
              <w:spacing w:after="120"/>
              <w:jc w:val="right"/>
              <w:rPr>
                <w:rFonts w:ascii="Verdana" w:hAnsi="Verdana" w:cs="Arial"/>
                <w:sz w:val="18"/>
                <w:szCs w:val="18"/>
              </w:rPr>
            </w:pPr>
            <w:r>
              <w:rPr>
                <w:rFonts w:ascii="Verdana" w:hAnsi="Verdana" w:cs="Arial"/>
                <w:sz w:val="18"/>
                <w:szCs w:val="18"/>
              </w:rPr>
              <w:t>3</w:t>
            </w:r>
            <w:r w:rsidR="00EF74DF">
              <w:rPr>
                <w:rFonts w:ascii="Verdana" w:hAnsi="Verdana" w:cs="Arial"/>
                <w:sz w:val="18"/>
                <w:szCs w:val="18"/>
              </w:rPr>
              <w:t>0.000</w:t>
            </w:r>
            <w:r w:rsidR="00BE67A3">
              <w:rPr>
                <w:rFonts w:ascii="Verdana" w:hAnsi="Verdana" w:cs="Arial"/>
                <w:sz w:val="18"/>
                <w:szCs w:val="18"/>
              </w:rPr>
              <w:t>,00 €</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6</w:t>
            </w:r>
          </w:p>
        </w:tc>
        <w:tc>
          <w:tcPr>
            <w:tcW w:w="1984" w:type="dxa"/>
            <w:gridSpan w:val="2"/>
            <w:tcBorders>
              <w:top w:val="nil"/>
              <w:left w:val="nil"/>
              <w:bottom w:val="single" w:sz="4" w:space="0" w:color="auto"/>
              <w:right w:val="single" w:sz="4" w:space="0" w:color="auto"/>
            </w:tcBorders>
            <w:noWrap/>
            <w:hideMark/>
          </w:tcPr>
          <w:p w:rsidR="00BE67A3" w:rsidRDefault="00650CAC">
            <w:pPr>
              <w:jc w:val="right"/>
              <w:rPr>
                <w:rFonts w:ascii="Verdana" w:hAnsi="Verdana"/>
                <w:sz w:val="18"/>
                <w:szCs w:val="18"/>
              </w:rPr>
            </w:pPr>
            <w:r>
              <w:rPr>
                <w:rFonts w:ascii="Verdana" w:hAnsi="Verdana"/>
                <w:sz w:val="18"/>
                <w:szCs w:val="18"/>
              </w:rPr>
              <w:t>0,00</w:t>
            </w:r>
            <w:r w:rsidR="00BE67A3">
              <w:rPr>
                <w:rFonts w:ascii="Verdana" w:hAnsi="Verdana"/>
                <w:sz w:val="18"/>
                <w:szCs w:val="18"/>
              </w:rPr>
              <w:t xml:space="preserve"> €</w:t>
            </w:r>
          </w:p>
        </w:tc>
        <w:tc>
          <w:tcPr>
            <w:tcW w:w="2552" w:type="dxa"/>
            <w:tcBorders>
              <w:top w:val="nil"/>
              <w:left w:val="nil"/>
              <w:bottom w:val="single" w:sz="8" w:space="0" w:color="auto"/>
              <w:right w:val="single" w:sz="8" w:space="0" w:color="auto"/>
            </w:tcBorders>
            <w:noWrap/>
            <w:hideMark/>
          </w:tcPr>
          <w:p w:rsidR="00BE67A3" w:rsidRDefault="0044318D">
            <w:pPr>
              <w:spacing w:after="120"/>
              <w:jc w:val="right"/>
              <w:rPr>
                <w:rFonts w:ascii="Verdana" w:hAnsi="Verdana" w:cs="Arial"/>
                <w:sz w:val="18"/>
                <w:szCs w:val="18"/>
              </w:rPr>
            </w:pPr>
            <w:r>
              <w:rPr>
                <w:rFonts w:ascii="Verdana" w:hAnsi="Verdana" w:cs="Arial"/>
                <w:sz w:val="18"/>
                <w:szCs w:val="18"/>
              </w:rPr>
              <w:t>1</w:t>
            </w:r>
            <w:r w:rsidR="00B77ACF">
              <w:rPr>
                <w:rFonts w:ascii="Verdana" w:hAnsi="Verdana" w:cs="Arial"/>
                <w:sz w:val="18"/>
                <w:szCs w:val="18"/>
              </w:rPr>
              <w:t>05.727,15</w:t>
            </w:r>
            <w:r w:rsidR="00BE67A3">
              <w:rPr>
                <w:rFonts w:ascii="Verdana" w:hAnsi="Verdana" w:cs="Arial"/>
                <w:sz w:val="18"/>
                <w:szCs w:val="18"/>
              </w:rPr>
              <w:t>€</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7</w:t>
            </w:r>
          </w:p>
        </w:tc>
        <w:tc>
          <w:tcPr>
            <w:tcW w:w="1984" w:type="dxa"/>
            <w:gridSpan w:val="2"/>
            <w:tcBorders>
              <w:top w:val="nil"/>
              <w:left w:val="nil"/>
              <w:bottom w:val="single" w:sz="4" w:space="0" w:color="auto"/>
              <w:right w:val="single" w:sz="4" w:space="0" w:color="auto"/>
            </w:tcBorders>
            <w:noWrap/>
            <w:hideMark/>
          </w:tcPr>
          <w:p w:rsidR="00BE67A3" w:rsidRDefault="00BE67A3">
            <w:pPr>
              <w:jc w:val="right"/>
              <w:rPr>
                <w:rFonts w:ascii="Verdana" w:hAnsi="Verdana"/>
                <w:sz w:val="18"/>
                <w:szCs w:val="18"/>
              </w:rPr>
            </w:pPr>
            <w:r>
              <w:rPr>
                <w:rFonts w:ascii="Verdana" w:hAnsi="Verdana"/>
                <w:sz w:val="18"/>
                <w:szCs w:val="18"/>
              </w:rPr>
              <w:t>0,00 €</w:t>
            </w:r>
          </w:p>
        </w:tc>
        <w:tc>
          <w:tcPr>
            <w:tcW w:w="2552" w:type="dxa"/>
            <w:tcBorders>
              <w:top w:val="nil"/>
              <w:left w:val="nil"/>
              <w:bottom w:val="single" w:sz="8" w:space="0" w:color="auto"/>
              <w:right w:val="single" w:sz="8" w:space="0" w:color="auto"/>
            </w:tcBorders>
            <w:noWrap/>
            <w:hideMark/>
          </w:tcPr>
          <w:p w:rsidR="00BE67A3" w:rsidRDefault="00BE67A3">
            <w:pPr>
              <w:spacing w:after="120"/>
              <w:jc w:val="right"/>
              <w:rPr>
                <w:rFonts w:ascii="Verdana" w:hAnsi="Verdana" w:cs="Arial"/>
                <w:sz w:val="18"/>
                <w:szCs w:val="18"/>
              </w:rPr>
            </w:pPr>
            <w:r>
              <w:rPr>
                <w:rFonts w:ascii="Verdana" w:hAnsi="Verdana" w:cs="Arial"/>
                <w:sz w:val="18"/>
                <w:szCs w:val="18"/>
              </w:rPr>
              <w:t>0,00 €</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8</w:t>
            </w:r>
          </w:p>
        </w:tc>
        <w:tc>
          <w:tcPr>
            <w:tcW w:w="1984" w:type="dxa"/>
            <w:gridSpan w:val="2"/>
            <w:tcBorders>
              <w:top w:val="nil"/>
              <w:left w:val="nil"/>
              <w:bottom w:val="single" w:sz="8" w:space="0" w:color="auto"/>
              <w:right w:val="single" w:sz="8" w:space="0" w:color="auto"/>
            </w:tcBorders>
            <w:noWrap/>
            <w:hideMark/>
          </w:tcPr>
          <w:p w:rsidR="00BE67A3" w:rsidRDefault="00650CAC">
            <w:pPr>
              <w:jc w:val="right"/>
              <w:rPr>
                <w:rFonts w:ascii="Calibri" w:hAnsi="Calibri"/>
                <w:sz w:val="22"/>
                <w:szCs w:val="22"/>
              </w:rPr>
            </w:pPr>
            <w:r>
              <w:rPr>
                <w:rFonts w:ascii="Calibri" w:hAnsi="Calibri"/>
                <w:sz w:val="22"/>
                <w:szCs w:val="22"/>
              </w:rPr>
              <w:t>5</w:t>
            </w:r>
            <w:r w:rsidR="00BE67A3">
              <w:rPr>
                <w:rFonts w:ascii="Calibri" w:hAnsi="Calibri"/>
                <w:sz w:val="22"/>
                <w:szCs w:val="22"/>
              </w:rPr>
              <w:t>.000,00 €</w:t>
            </w:r>
          </w:p>
        </w:tc>
        <w:tc>
          <w:tcPr>
            <w:tcW w:w="2552" w:type="dxa"/>
            <w:tcBorders>
              <w:top w:val="nil"/>
              <w:left w:val="nil"/>
              <w:bottom w:val="single" w:sz="8" w:space="0" w:color="auto"/>
              <w:right w:val="single" w:sz="8" w:space="0" w:color="auto"/>
            </w:tcBorders>
            <w:noWrap/>
            <w:hideMark/>
          </w:tcPr>
          <w:p w:rsidR="00BE67A3" w:rsidRDefault="00EF74DF">
            <w:pPr>
              <w:spacing w:after="120"/>
              <w:jc w:val="right"/>
              <w:rPr>
                <w:rFonts w:ascii="Verdana" w:hAnsi="Verdana" w:cs="Arial"/>
                <w:sz w:val="18"/>
                <w:szCs w:val="18"/>
              </w:rPr>
            </w:pPr>
            <w:r>
              <w:rPr>
                <w:rFonts w:ascii="Verdana" w:hAnsi="Verdana" w:cs="Arial"/>
                <w:sz w:val="18"/>
                <w:szCs w:val="18"/>
              </w:rPr>
              <w:t>5</w:t>
            </w:r>
            <w:r w:rsidR="00BE67A3">
              <w:rPr>
                <w:rFonts w:ascii="Verdana" w:hAnsi="Verdana" w:cs="Arial"/>
                <w:sz w:val="18"/>
                <w:szCs w:val="18"/>
              </w:rPr>
              <w:t>.000,00 €</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noWrap/>
            <w:vAlign w:val="bottom"/>
            <w:hideMark/>
          </w:tcPr>
          <w:p w:rsidR="00BE67A3" w:rsidRDefault="00BE67A3">
            <w:pPr>
              <w:jc w:val="right"/>
              <w:rPr>
                <w:rFonts w:ascii="Arial" w:hAnsi="Arial" w:cs="Arial"/>
                <w:sz w:val="20"/>
                <w:szCs w:val="20"/>
              </w:rPr>
            </w:pPr>
            <w:r>
              <w:rPr>
                <w:rFonts w:ascii="Arial" w:hAnsi="Arial" w:cs="Arial"/>
                <w:sz w:val="20"/>
                <w:szCs w:val="20"/>
              </w:rPr>
              <w:t>CAPÍTULO 9</w:t>
            </w:r>
          </w:p>
        </w:tc>
        <w:tc>
          <w:tcPr>
            <w:tcW w:w="1984" w:type="dxa"/>
            <w:gridSpan w:val="2"/>
            <w:tcBorders>
              <w:top w:val="nil"/>
              <w:left w:val="nil"/>
              <w:bottom w:val="single" w:sz="8" w:space="0" w:color="auto"/>
              <w:right w:val="single" w:sz="8" w:space="0" w:color="auto"/>
            </w:tcBorders>
            <w:noWrap/>
            <w:hideMark/>
          </w:tcPr>
          <w:p w:rsidR="00BE67A3" w:rsidRDefault="00BE67A3">
            <w:pPr>
              <w:jc w:val="right"/>
              <w:rPr>
                <w:rFonts w:ascii="Calibri" w:hAnsi="Calibri"/>
                <w:sz w:val="22"/>
                <w:szCs w:val="22"/>
              </w:rPr>
            </w:pPr>
            <w:r>
              <w:rPr>
                <w:rFonts w:ascii="Calibri" w:hAnsi="Calibri"/>
                <w:sz w:val="22"/>
                <w:szCs w:val="22"/>
              </w:rPr>
              <w:t>0,00</w:t>
            </w:r>
          </w:p>
        </w:tc>
        <w:tc>
          <w:tcPr>
            <w:tcW w:w="2552" w:type="dxa"/>
            <w:tcBorders>
              <w:top w:val="nil"/>
              <w:left w:val="nil"/>
              <w:bottom w:val="single" w:sz="8" w:space="0" w:color="auto"/>
              <w:right w:val="single" w:sz="8" w:space="0" w:color="auto"/>
            </w:tcBorders>
            <w:noWrap/>
            <w:hideMark/>
          </w:tcPr>
          <w:p w:rsidR="00BE67A3" w:rsidRDefault="00BE67A3">
            <w:pPr>
              <w:spacing w:after="120"/>
              <w:jc w:val="right"/>
              <w:rPr>
                <w:rFonts w:ascii="Verdana" w:hAnsi="Verdana" w:cs="Arial"/>
                <w:sz w:val="18"/>
                <w:szCs w:val="18"/>
              </w:rPr>
            </w:pPr>
            <w:r>
              <w:rPr>
                <w:rFonts w:ascii="Verdana" w:hAnsi="Verdana" w:cs="Arial"/>
                <w:sz w:val="18"/>
                <w:szCs w:val="18"/>
              </w:rPr>
              <w:t>6</w:t>
            </w:r>
            <w:r w:rsidR="00EF74DF">
              <w:rPr>
                <w:rFonts w:ascii="Verdana" w:hAnsi="Verdana" w:cs="Arial"/>
                <w:sz w:val="18"/>
                <w:szCs w:val="18"/>
              </w:rPr>
              <w:t>9.426,29</w:t>
            </w:r>
            <w:r>
              <w:rPr>
                <w:rFonts w:ascii="Verdana" w:hAnsi="Verdana" w:cs="Arial"/>
                <w:sz w:val="18"/>
                <w:szCs w:val="18"/>
              </w:rPr>
              <w:t xml:space="preserve"> €</w:t>
            </w:r>
          </w:p>
        </w:tc>
      </w:tr>
      <w:tr w:rsidR="00BE67A3" w:rsidTr="00BE67A3">
        <w:trPr>
          <w:gridAfter w:val="1"/>
          <w:wAfter w:w="709" w:type="dxa"/>
          <w:trHeight w:val="255"/>
          <w:jc w:val="center"/>
        </w:trPr>
        <w:tc>
          <w:tcPr>
            <w:tcW w:w="3055" w:type="dxa"/>
            <w:gridSpan w:val="2"/>
            <w:tcBorders>
              <w:top w:val="nil"/>
              <w:left w:val="single" w:sz="4" w:space="0" w:color="auto"/>
              <w:bottom w:val="single" w:sz="4" w:space="0" w:color="auto"/>
              <w:right w:val="single" w:sz="4" w:space="0" w:color="auto"/>
            </w:tcBorders>
            <w:shd w:val="clear" w:color="auto" w:fill="A5A5A5"/>
            <w:noWrap/>
            <w:vAlign w:val="bottom"/>
            <w:hideMark/>
          </w:tcPr>
          <w:p w:rsidR="00BE67A3" w:rsidRDefault="00BE67A3">
            <w:pPr>
              <w:jc w:val="right"/>
              <w:rPr>
                <w:rFonts w:ascii="Arial" w:hAnsi="Arial" w:cs="Arial"/>
                <w:b/>
                <w:bCs/>
                <w:sz w:val="20"/>
                <w:szCs w:val="20"/>
              </w:rPr>
            </w:pPr>
            <w:r>
              <w:rPr>
                <w:rFonts w:ascii="Arial" w:hAnsi="Arial" w:cs="Arial"/>
                <w:b/>
                <w:bCs/>
                <w:sz w:val="20"/>
                <w:szCs w:val="20"/>
              </w:rPr>
              <w:t>TOTAL</w:t>
            </w:r>
          </w:p>
        </w:tc>
        <w:tc>
          <w:tcPr>
            <w:tcW w:w="1984" w:type="dxa"/>
            <w:gridSpan w:val="2"/>
            <w:tcBorders>
              <w:top w:val="nil"/>
              <w:left w:val="nil"/>
              <w:bottom w:val="single" w:sz="8" w:space="0" w:color="auto"/>
              <w:right w:val="single" w:sz="8" w:space="0" w:color="auto"/>
            </w:tcBorders>
            <w:shd w:val="clear" w:color="auto" w:fill="A6A6A6"/>
            <w:noWrap/>
            <w:hideMark/>
          </w:tcPr>
          <w:p w:rsidR="00BE67A3" w:rsidRDefault="00BE67A3">
            <w:pPr>
              <w:jc w:val="right"/>
              <w:rPr>
                <w:rFonts w:ascii="Calibri" w:hAnsi="Calibri"/>
                <w:b/>
                <w:bCs/>
                <w:sz w:val="22"/>
                <w:szCs w:val="22"/>
              </w:rPr>
            </w:pPr>
            <w:r>
              <w:rPr>
                <w:rFonts w:ascii="Calibri" w:hAnsi="Calibri"/>
                <w:b/>
                <w:bCs/>
                <w:sz w:val="22"/>
                <w:szCs w:val="22"/>
              </w:rPr>
              <w:t xml:space="preserve"> 1</w:t>
            </w:r>
            <w:r w:rsidR="00650CAC">
              <w:rPr>
                <w:rFonts w:ascii="Calibri" w:hAnsi="Calibri"/>
                <w:b/>
                <w:bCs/>
                <w:sz w:val="22"/>
                <w:szCs w:val="22"/>
              </w:rPr>
              <w:t>2</w:t>
            </w:r>
            <w:r>
              <w:rPr>
                <w:rFonts w:ascii="Calibri" w:hAnsi="Calibri"/>
                <w:b/>
                <w:bCs/>
                <w:sz w:val="22"/>
                <w:szCs w:val="22"/>
              </w:rPr>
              <w:t>.</w:t>
            </w:r>
            <w:r w:rsidR="00A616BF">
              <w:rPr>
                <w:rFonts w:ascii="Calibri" w:hAnsi="Calibri"/>
                <w:b/>
                <w:bCs/>
                <w:sz w:val="22"/>
                <w:szCs w:val="22"/>
              </w:rPr>
              <w:t>1</w:t>
            </w:r>
            <w:r w:rsidR="00B77ACF">
              <w:rPr>
                <w:rFonts w:ascii="Calibri" w:hAnsi="Calibri"/>
                <w:b/>
                <w:bCs/>
                <w:sz w:val="22"/>
                <w:szCs w:val="22"/>
              </w:rPr>
              <w:t>87</w:t>
            </w:r>
            <w:r w:rsidR="00A616BF">
              <w:rPr>
                <w:rFonts w:ascii="Calibri" w:hAnsi="Calibri"/>
                <w:b/>
                <w:bCs/>
                <w:sz w:val="22"/>
                <w:szCs w:val="22"/>
              </w:rPr>
              <w:t>.613,19</w:t>
            </w:r>
            <w:r>
              <w:rPr>
                <w:rFonts w:ascii="Calibri" w:hAnsi="Calibri"/>
                <w:b/>
                <w:bCs/>
                <w:sz w:val="22"/>
                <w:szCs w:val="22"/>
              </w:rPr>
              <w:t xml:space="preserve"> € </w:t>
            </w:r>
          </w:p>
        </w:tc>
        <w:tc>
          <w:tcPr>
            <w:tcW w:w="2552" w:type="dxa"/>
            <w:tcBorders>
              <w:top w:val="nil"/>
              <w:left w:val="nil"/>
              <w:bottom w:val="single" w:sz="4" w:space="0" w:color="auto"/>
              <w:right w:val="single" w:sz="4" w:space="0" w:color="auto"/>
            </w:tcBorders>
            <w:shd w:val="clear" w:color="auto" w:fill="A5A5A5"/>
            <w:noWrap/>
            <w:hideMark/>
          </w:tcPr>
          <w:p w:rsidR="00BE67A3" w:rsidRDefault="00BE67A3">
            <w:pPr>
              <w:jc w:val="right"/>
              <w:rPr>
                <w:rFonts w:ascii="Calibri" w:hAnsi="Calibri"/>
                <w:b/>
                <w:bCs/>
                <w:sz w:val="22"/>
                <w:szCs w:val="22"/>
              </w:rPr>
            </w:pPr>
            <w:r>
              <w:rPr>
                <w:rFonts w:ascii="Calibri" w:hAnsi="Calibri"/>
                <w:b/>
                <w:bCs/>
                <w:sz w:val="22"/>
                <w:szCs w:val="22"/>
              </w:rPr>
              <w:t>1</w:t>
            </w:r>
            <w:r w:rsidR="00A616BF">
              <w:rPr>
                <w:rFonts w:ascii="Calibri" w:hAnsi="Calibri"/>
                <w:b/>
                <w:bCs/>
                <w:sz w:val="22"/>
                <w:szCs w:val="22"/>
              </w:rPr>
              <w:t>2.</w:t>
            </w:r>
            <w:r w:rsidR="00B77ACF">
              <w:rPr>
                <w:rFonts w:ascii="Calibri" w:hAnsi="Calibri"/>
                <w:b/>
                <w:bCs/>
                <w:sz w:val="22"/>
                <w:szCs w:val="22"/>
              </w:rPr>
              <w:t>107.802,42</w:t>
            </w:r>
            <w:r>
              <w:rPr>
                <w:rFonts w:ascii="Calibri" w:hAnsi="Calibri"/>
                <w:b/>
                <w:bCs/>
                <w:sz w:val="22"/>
                <w:szCs w:val="22"/>
              </w:rPr>
              <w:t xml:space="preserve"> €</w:t>
            </w:r>
          </w:p>
        </w:tc>
      </w:tr>
      <w:tr w:rsidR="00BE67A3" w:rsidTr="00BE67A3">
        <w:trPr>
          <w:gridAfter w:val="1"/>
          <w:wAfter w:w="709" w:type="dxa"/>
          <w:trHeight w:val="255"/>
          <w:jc w:val="center"/>
        </w:trPr>
        <w:tc>
          <w:tcPr>
            <w:tcW w:w="7591" w:type="dxa"/>
            <w:gridSpan w:val="5"/>
            <w:tcBorders>
              <w:top w:val="nil"/>
              <w:left w:val="single" w:sz="4" w:space="0" w:color="auto"/>
              <w:bottom w:val="single" w:sz="4" w:space="0" w:color="auto"/>
              <w:right w:val="single" w:sz="4" w:space="0" w:color="auto"/>
            </w:tcBorders>
            <w:shd w:val="clear" w:color="auto" w:fill="7F7F7F"/>
            <w:noWrap/>
            <w:vAlign w:val="bottom"/>
            <w:hideMark/>
          </w:tcPr>
          <w:p w:rsidR="00BE67A3" w:rsidRDefault="006C6D0D">
            <w:pPr>
              <w:jc w:val="right"/>
              <w:rPr>
                <w:rFonts w:ascii="Arial" w:hAnsi="Arial" w:cs="Arial"/>
                <w:sz w:val="20"/>
                <w:szCs w:val="20"/>
              </w:rPr>
            </w:pPr>
            <w:r>
              <w:rPr>
                <w:rFonts w:ascii="Arial" w:hAnsi="Arial" w:cs="Arial"/>
                <w:b/>
                <w:bCs/>
                <w:sz w:val="20"/>
                <w:szCs w:val="20"/>
              </w:rPr>
              <w:t xml:space="preserve">  SUPERAVIT </w:t>
            </w:r>
            <w:r w:rsidR="00BE67A3">
              <w:rPr>
                <w:rFonts w:ascii="Arial" w:hAnsi="Arial" w:cs="Arial"/>
                <w:b/>
                <w:bCs/>
                <w:sz w:val="20"/>
                <w:szCs w:val="20"/>
              </w:rPr>
              <w:t>PRESUPUESTARIO</w:t>
            </w:r>
          </w:p>
        </w:tc>
      </w:tr>
    </w:tbl>
    <w:p w:rsidR="00BE67A3" w:rsidRDefault="00BE67A3" w:rsidP="00650CAC">
      <w:pPr>
        <w:widowControl w:val="0"/>
        <w:suppressAutoHyphens/>
        <w:spacing w:line="360" w:lineRule="auto"/>
        <w:ind w:right="11"/>
        <w:jc w:val="both"/>
        <w:rPr>
          <w:rFonts w:ascii="Verdana" w:hAnsi="Verdana" w:cs="Arial"/>
          <w:sz w:val="20"/>
          <w:szCs w:val="20"/>
          <w:lang w:val="es-ES_tradnl" w:eastAsia="ar-SA"/>
        </w:rPr>
      </w:pPr>
    </w:p>
    <w:p w:rsidR="00BE67A3" w:rsidRDefault="00BE67A3" w:rsidP="00BE67A3">
      <w:pPr>
        <w:widowControl w:val="0"/>
        <w:suppressAutoHyphens/>
        <w:spacing w:line="360" w:lineRule="auto"/>
        <w:ind w:right="11" w:firstLine="708"/>
        <w:jc w:val="both"/>
        <w:rPr>
          <w:rFonts w:ascii="Verdana" w:hAnsi="Verdana" w:cs="Arial"/>
          <w:sz w:val="20"/>
          <w:szCs w:val="20"/>
          <w:lang w:val="es-ES_tradnl" w:eastAsia="ar-SA"/>
        </w:rPr>
      </w:pPr>
    </w:p>
    <w:p w:rsidR="00BE67A3" w:rsidRDefault="00BE67A3" w:rsidP="00BE67A3">
      <w:pPr>
        <w:suppressAutoHyphens/>
        <w:ind w:firstLine="708"/>
        <w:jc w:val="both"/>
        <w:rPr>
          <w:rFonts w:ascii="Verdana" w:hAnsi="Verdana"/>
          <w:b/>
          <w:sz w:val="20"/>
          <w:szCs w:val="20"/>
          <w:lang w:eastAsia="ar-SA"/>
        </w:rPr>
      </w:pPr>
      <w:proofErr w:type="gramStart"/>
      <w:r>
        <w:rPr>
          <w:rFonts w:ascii="Verdana" w:hAnsi="Verdana"/>
          <w:b/>
          <w:sz w:val="20"/>
          <w:szCs w:val="20"/>
          <w:lang w:eastAsia="ar-SA"/>
        </w:rPr>
        <w:t>DÉCIMO.-</w:t>
      </w:r>
      <w:proofErr w:type="gramEnd"/>
      <w:r>
        <w:rPr>
          <w:rFonts w:ascii="Verdana" w:hAnsi="Verdana"/>
          <w:b/>
          <w:sz w:val="20"/>
          <w:szCs w:val="20"/>
          <w:lang w:eastAsia="ar-SA"/>
        </w:rPr>
        <w:t xml:space="preserve"> Bases de Ejecución y Plan Estratégico de Subvenciones</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t>El Presupuesto General deberá incluirá las Bases de Ejecución del mismo que contendrán, para cada ejercicio, la adaptación de las disposiciones generales en materia presupuestaria a la organización y circunstancias de la propia Entidad, así como aquellas otras necesarias para su acertada gestión, estableciendo cuantas prevenciones se consideren oportunas o convenientes para la mejor realización de los gastos y recaudación de los recursos, sin que se pueda modificar lo legislado para la administración económica ni comprender preceptos de orden administrativos que requieran legalmente de procedimientos y solemnidades específicas distintas de lo preceptuado para el Presupuestos (art. 165.1 TRLHL).</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sz w:val="20"/>
          <w:szCs w:val="20"/>
          <w:lang w:eastAsia="ar-SA"/>
        </w:rPr>
      </w:pPr>
      <w:r>
        <w:rPr>
          <w:rFonts w:ascii="Verdana" w:hAnsi="Verdana"/>
          <w:sz w:val="20"/>
          <w:szCs w:val="20"/>
          <w:lang w:eastAsia="ar-SA"/>
        </w:rPr>
        <w:lastRenderedPageBreak/>
        <w:t>Para el ejercicio 202</w:t>
      </w:r>
      <w:r w:rsidR="00650CAC">
        <w:rPr>
          <w:rFonts w:ascii="Verdana" w:hAnsi="Verdana"/>
          <w:sz w:val="20"/>
          <w:szCs w:val="20"/>
          <w:lang w:eastAsia="ar-SA"/>
        </w:rPr>
        <w:t>4</w:t>
      </w:r>
      <w:r>
        <w:rPr>
          <w:rFonts w:ascii="Verdana" w:hAnsi="Verdana"/>
          <w:sz w:val="20"/>
          <w:szCs w:val="20"/>
          <w:lang w:eastAsia="ar-SA"/>
        </w:rPr>
        <w:t xml:space="preserve"> se han modificado las bases de ejecución respecto al ejercicio anterior con el fin de adaptar algunos procedimientos a la realidad organizativa del Ayuntamiento y a la normativa legal vigente.</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jc w:val="both"/>
        <w:rPr>
          <w:rFonts w:ascii="Verdana" w:hAnsi="Verdana"/>
          <w:iCs/>
          <w:sz w:val="20"/>
          <w:szCs w:val="20"/>
          <w:lang w:eastAsia="ar-SA"/>
        </w:rPr>
      </w:pPr>
      <w:r>
        <w:rPr>
          <w:rFonts w:ascii="Verdana" w:hAnsi="Verdana"/>
          <w:sz w:val="20"/>
          <w:szCs w:val="20"/>
          <w:lang w:eastAsia="ar-SA"/>
        </w:rPr>
        <w:tab/>
        <w:t>El proyecto de presupuestos incluye un Plan Estratégico de Subvenciones para el ejercicio 202</w:t>
      </w:r>
      <w:r w:rsidR="00650CAC">
        <w:rPr>
          <w:rFonts w:ascii="Verdana" w:hAnsi="Verdana"/>
          <w:sz w:val="20"/>
          <w:szCs w:val="20"/>
          <w:lang w:eastAsia="ar-SA"/>
        </w:rPr>
        <w:t>4</w:t>
      </w:r>
      <w:r>
        <w:rPr>
          <w:rFonts w:ascii="Verdana" w:hAnsi="Verdana"/>
          <w:sz w:val="20"/>
          <w:szCs w:val="20"/>
          <w:lang w:eastAsia="ar-SA"/>
        </w:rPr>
        <w:t xml:space="preserve"> elaborado en cumplimiento del artículo </w:t>
      </w:r>
      <w:r>
        <w:rPr>
          <w:rFonts w:ascii="Verdana" w:hAnsi="Verdana"/>
          <w:iCs/>
          <w:sz w:val="20"/>
          <w:szCs w:val="20"/>
          <w:lang w:eastAsia="ar-SA"/>
        </w:rPr>
        <w:t>8.1 de la Ley 38/2003, de 17 de noviembre, General de Subvenciones.</w:t>
      </w:r>
    </w:p>
    <w:p w:rsidR="00650CAC" w:rsidRDefault="00650CAC" w:rsidP="00BE67A3">
      <w:pPr>
        <w:suppressAutoHyphens/>
        <w:jc w:val="both"/>
        <w:rPr>
          <w:rFonts w:ascii="Verdana" w:hAnsi="Verdana"/>
          <w:iCs/>
          <w:sz w:val="20"/>
          <w:szCs w:val="20"/>
          <w:lang w:eastAsia="ar-SA"/>
        </w:rPr>
      </w:pP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708"/>
        <w:jc w:val="both"/>
        <w:rPr>
          <w:rFonts w:ascii="Verdana" w:hAnsi="Verdana"/>
          <w:b/>
          <w:sz w:val="20"/>
          <w:szCs w:val="20"/>
          <w:lang w:eastAsia="ar-SA"/>
        </w:rPr>
      </w:pPr>
      <w:proofErr w:type="gramStart"/>
      <w:r>
        <w:rPr>
          <w:rFonts w:ascii="Verdana" w:hAnsi="Verdana"/>
          <w:b/>
          <w:sz w:val="20"/>
          <w:szCs w:val="20"/>
          <w:lang w:eastAsia="ar-SA"/>
        </w:rPr>
        <w:t>UNDÉCIMO.-</w:t>
      </w:r>
      <w:proofErr w:type="gramEnd"/>
      <w:r>
        <w:rPr>
          <w:rFonts w:ascii="Verdana" w:hAnsi="Verdana"/>
          <w:b/>
          <w:sz w:val="20"/>
          <w:szCs w:val="20"/>
          <w:lang w:eastAsia="ar-SA"/>
        </w:rPr>
        <w:t xml:space="preserve"> Tramitación y entrada en vigor.</w:t>
      </w:r>
    </w:p>
    <w:p w:rsidR="00BE67A3" w:rsidRDefault="00BE67A3" w:rsidP="00BE67A3">
      <w:pPr>
        <w:suppressAutoHyphens/>
        <w:jc w:val="both"/>
        <w:rPr>
          <w:rFonts w:ascii="Verdana" w:hAnsi="Verdana"/>
          <w:b/>
          <w:sz w:val="20"/>
          <w:szCs w:val="20"/>
          <w:lang w:eastAsia="ar-SA"/>
        </w:rPr>
      </w:pPr>
    </w:p>
    <w:p w:rsidR="00BE67A3" w:rsidRDefault="00BE67A3" w:rsidP="00BE67A3">
      <w:pPr>
        <w:numPr>
          <w:ilvl w:val="0"/>
          <w:numId w:val="4"/>
        </w:numPr>
        <w:suppressAutoHyphens/>
        <w:ind w:left="1134" w:hanging="414"/>
        <w:jc w:val="both"/>
        <w:rPr>
          <w:rFonts w:ascii="Verdana" w:hAnsi="Verdana"/>
          <w:sz w:val="20"/>
          <w:szCs w:val="20"/>
          <w:lang w:eastAsia="ar-SA"/>
        </w:rPr>
      </w:pPr>
      <w:r>
        <w:rPr>
          <w:rFonts w:ascii="Verdana" w:hAnsi="Verdana"/>
          <w:sz w:val="20"/>
          <w:szCs w:val="20"/>
          <w:lang w:eastAsia="ar-SA"/>
        </w:rPr>
        <w:t xml:space="preserve">Elevación al Pleno: El Proyecto de Presupuesto General, informado por la Interventora y con los anexos y documentación complementaria, será remitido por el </w:t>
      </w:r>
      <w:proofErr w:type="gramStart"/>
      <w:r>
        <w:rPr>
          <w:rFonts w:ascii="Verdana" w:hAnsi="Verdana"/>
          <w:sz w:val="20"/>
          <w:szCs w:val="20"/>
          <w:lang w:eastAsia="ar-SA"/>
        </w:rPr>
        <w:t>Presidente</w:t>
      </w:r>
      <w:proofErr w:type="gramEnd"/>
      <w:r>
        <w:rPr>
          <w:rFonts w:ascii="Verdana" w:hAnsi="Verdana"/>
          <w:sz w:val="20"/>
          <w:szCs w:val="20"/>
          <w:lang w:eastAsia="ar-SA"/>
        </w:rPr>
        <w:t xml:space="preserve"> al Pleno de la Corporación antes del día 15 de octubre para su aprobación, enmienda o devolución. La aprobación definitiva del Presupuesto General por el Pleno de la Corporación habrá de realizarse antes del 31 de diciembre del año anterior al del ejercicio al que debe de aplicarse. Cabe destacar </w:t>
      </w:r>
      <w:proofErr w:type="gramStart"/>
      <w:r>
        <w:rPr>
          <w:rFonts w:ascii="Verdana" w:hAnsi="Verdana"/>
          <w:sz w:val="20"/>
          <w:szCs w:val="20"/>
          <w:lang w:eastAsia="ar-SA"/>
        </w:rPr>
        <w:t>que</w:t>
      </w:r>
      <w:proofErr w:type="gramEnd"/>
      <w:r>
        <w:rPr>
          <w:rFonts w:ascii="Verdana" w:hAnsi="Verdana"/>
          <w:sz w:val="20"/>
          <w:szCs w:val="20"/>
          <w:lang w:eastAsia="ar-SA"/>
        </w:rPr>
        <w:t xml:space="preserve"> pese a las determinaciones previstas, este borrador de presupuesto ha llegado a la Intervención con posterioridad a la citada fecha, por lo que debe hacer constar dicha salvedad a los efectos de subsanación especialmente en ejercicios futuros.</w:t>
      </w:r>
    </w:p>
    <w:p w:rsidR="00BE67A3" w:rsidRDefault="00BE67A3" w:rsidP="00BE67A3">
      <w:pPr>
        <w:numPr>
          <w:ilvl w:val="0"/>
          <w:numId w:val="4"/>
        </w:numPr>
        <w:suppressAutoHyphens/>
        <w:jc w:val="both"/>
        <w:rPr>
          <w:rFonts w:ascii="Verdana" w:hAnsi="Verdana"/>
          <w:sz w:val="20"/>
          <w:szCs w:val="20"/>
          <w:lang w:eastAsia="ar-SA"/>
        </w:rPr>
      </w:pPr>
      <w:r>
        <w:rPr>
          <w:rFonts w:ascii="Verdana" w:hAnsi="Verdana"/>
          <w:sz w:val="20"/>
          <w:szCs w:val="20"/>
          <w:lang w:eastAsia="ar-SA"/>
        </w:rPr>
        <w:t>Aprobación inicial del Presupuesto por el Pleno de la Corporación por mayoría simple de los miembros.</w:t>
      </w:r>
    </w:p>
    <w:p w:rsidR="00BE67A3" w:rsidRDefault="00BE67A3" w:rsidP="00BE67A3">
      <w:pPr>
        <w:numPr>
          <w:ilvl w:val="0"/>
          <w:numId w:val="4"/>
        </w:numPr>
        <w:suppressAutoHyphens/>
        <w:jc w:val="both"/>
        <w:rPr>
          <w:rFonts w:ascii="Verdana" w:hAnsi="Verdana"/>
          <w:sz w:val="20"/>
          <w:szCs w:val="20"/>
          <w:lang w:eastAsia="ar-SA"/>
        </w:rPr>
      </w:pPr>
      <w:r>
        <w:rPr>
          <w:rFonts w:ascii="Verdana" w:hAnsi="Verdana"/>
          <w:sz w:val="20"/>
          <w:szCs w:val="20"/>
          <w:lang w:eastAsia="ar-SA"/>
        </w:rPr>
        <w:t>Información pública por espacio de quince días hábiles, en el Boletín Oficial de la Provincia, plazo durante el cual los interesados podrán examinar el expediente y presentar las reclamaciones que estimen oportunas ante el Pleno. Dicha publicación también ha de hacerse en Portal de Transparencia.</w:t>
      </w:r>
    </w:p>
    <w:p w:rsidR="00BE67A3" w:rsidRDefault="00BE67A3" w:rsidP="00BE67A3">
      <w:pPr>
        <w:numPr>
          <w:ilvl w:val="0"/>
          <w:numId w:val="4"/>
        </w:numPr>
        <w:suppressAutoHyphens/>
        <w:jc w:val="both"/>
        <w:rPr>
          <w:rFonts w:ascii="Verdana" w:hAnsi="Verdana"/>
          <w:sz w:val="20"/>
          <w:szCs w:val="20"/>
          <w:lang w:eastAsia="ar-SA"/>
        </w:rPr>
      </w:pPr>
      <w:r>
        <w:rPr>
          <w:rFonts w:ascii="Verdana" w:hAnsi="Verdana"/>
          <w:sz w:val="20"/>
          <w:szCs w:val="20"/>
          <w:lang w:eastAsia="ar-SA"/>
        </w:rPr>
        <w:t>Resolución de todas las reclamaciones presentadas. El Pleno dispondrá del plazo de un mes para resolverlas.</w:t>
      </w:r>
    </w:p>
    <w:p w:rsidR="00BE67A3" w:rsidRDefault="00BE67A3" w:rsidP="00BE67A3">
      <w:pPr>
        <w:numPr>
          <w:ilvl w:val="0"/>
          <w:numId w:val="4"/>
        </w:numPr>
        <w:suppressAutoHyphens/>
        <w:jc w:val="both"/>
        <w:rPr>
          <w:rFonts w:ascii="Verdana" w:hAnsi="Verdana"/>
          <w:sz w:val="20"/>
          <w:szCs w:val="20"/>
          <w:lang w:eastAsia="ar-SA"/>
        </w:rPr>
      </w:pPr>
      <w:r>
        <w:rPr>
          <w:rFonts w:ascii="Verdana" w:hAnsi="Verdana"/>
          <w:sz w:val="20"/>
          <w:szCs w:val="20"/>
          <w:lang w:eastAsia="ar-SA"/>
        </w:rPr>
        <w:t>Aprobación definitiva. El Presupuesto General se considerará definitivamente aprobado si al término del período de exposición no se hubieren presentado reclamaciones; en caso contrario, se requerirá acuerdo expreso por el que se resuelvan las formuladas y se apruebe definitivamente.</w:t>
      </w:r>
    </w:p>
    <w:p w:rsidR="00BE67A3" w:rsidRDefault="00BE67A3" w:rsidP="00BE67A3">
      <w:pPr>
        <w:numPr>
          <w:ilvl w:val="0"/>
          <w:numId w:val="4"/>
        </w:numPr>
        <w:suppressAutoHyphens/>
        <w:jc w:val="both"/>
        <w:rPr>
          <w:rFonts w:ascii="Verdana" w:hAnsi="Verdana"/>
          <w:sz w:val="20"/>
          <w:szCs w:val="20"/>
          <w:lang w:eastAsia="ar-SA"/>
        </w:rPr>
      </w:pPr>
      <w:r>
        <w:rPr>
          <w:rFonts w:ascii="Verdana" w:hAnsi="Verdana"/>
          <w:sz w:val="20"/>
          <w:szCs w:val="20"/>
          <w:lang w:eastAsia="ar-SA"/>
        </w:rPr>
        <w:t xml:space="preserve">El Presupuesto General definitivamente aprobado será publicado a nivel de capítulos en el Boletín Oficial de la Provincia. </w:t>
      </w:r>
    </w:p>
    <w:p w:rsidR="00BE67A3" w:rsidRDefault="00BE67A3" w:rsidP="00BE67A3">
      <w:pPr>
        <w:numPr>
          <w:ilvl w:val="0"/>
          <w:numId w:val="4"/>
        </w:numPr>
        <w:suppressAutoHyphens/>
        <w:jc w:val="both"/>
        <w:rPr>
          <w:rFonts w:ascii="Verdana" w:hAnsi="Verdana"/>
          <w:sz w:val="20"/>
          <w:szCs w:val="20"/>
          <w:lang w:eastAsia="ar-SA"/>
        </w:rPr>
      </w:pPr>
      <w:r>
        <w:rPr>
          <w:rFonts w:ascii="Verdana" w:hAnsi="Verdana"/>
          <w:sz w:val="20"/>
          <w:szCs w:val="20"/>
          <w:lang w:eastAsia="ar-SA"/>
        </w:rPr>
        <w:t xml:space="preserve">Del presupuesto definitivamente aprobado se remitirá copia a la Administración del Estado antes del 31 de enero, y a la de la Comunidad Autónoma. </w:t>
      </w:r>
    </w:p>
    <w:p w:rsidR="00BE67A3" w:rsidRDefault="00BE67A3" w:rsidP="00BE67A3">
      <w:pPr>
        <w:numPr>
          <w:ilvl w:val="0"/>
          <w:numId w:val="4"/>
        </w:numPr>
        <w:suppressAutoHyphens/>
        <w:jc w:val="both"/>
        <w:rPr>
          <w:rFonts w:ascii="Verdana" w:hAnsi="Verdana"/>
          <w:sz w:val="20"/>
          <w:szCs w:val="20"/>
          <w:lang w:eastAsia="ar-SA"/>
        </w:rPr>
      </w:pPr>
      <w:r>
        <w:rPr>
          <w:rFonts w:ascii="Verdana" w:hAnsi="Verdana"/>
          <w:sz w:val="20"/>
          <w:szCs w:val="20"/>
          <w:lang w:eastAsia="ar-SA"/>
        </w:rPr>
        <w:t>Contra la aprobación definitiva del Presupuesto podrá interponerse directamente recurso contencioso-administrativo, en la forma y plazos que establezcan las normas de dicha Jurisdicción.</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jc w:val="both"/>
        <w:rPr>
          <w:rFonts w:ascii="Verdana" w:hAnsi="Verdana"/>
          <w:sz w:val="20"/>
          <w:szCs w:val="20"/>
          <w:lang w:eastAsia="ar-SA"/>
        </w:rPr>
      </w:pPr>
      <w:r>
        <w:rPr>
          <w:rFonts w:ascii="Verdana" w:hAnsi="Verdana"/>
          <w:sz w:val="20"/>
          <w:szCs w:val="20"/>
          <w:lang w:eastAsia="ar-SA"/>
        </w:rPr>
        <w:tab/>
        <w:t>En cuanto a la tramitación se ha incumplido el plazo de presentación al Pleno de la Corporación, debiendo haberlo efectuado antes del 15 de octubre de 202</w:t>
      </w:r>
      <w:r w:rsidR="00650CAC">
        <w:rPr>
          <w:rFonts w:ascii="Verdana" w:hAnsi="Verdana"/>
          <w:sz w:val="20"/>
          <w:szCs w:val="20"/>
          <w:lang w:eastAsia="ar-SA"/>
        </w:rPr>
        <w:t>3</w:t>
      </w:r>
      <w:r>
        <w:rPr>
          <w:rFonts w:ascii="Verdana" w:hAnsi="Verdana"/>
          <w:sz w:val="20"/>
          <w:szCs w:val="20"/>
          <w:lang w:eastAsia="ar-SA"/>
        </w:rPr>
        <w:t>.</w:t>
      </w:r>
    </w:p>
    <w:p w:rsidR="00BE67A3" w:rsidRDefault="00BE67A3" w:rsidP="00BE67A3">
      <w:pPr>
        <w:suppressAutoHyphens/>
        <w:ind w:left="360"/>
        <w:jc w:val="both"/>
        <w:rPr>
          <w:rFonts w:ascii="Verdana" w:hAnsi="Verdana"/>
          <w:sz w:val="20"/>
          <w:szCs w:val="20"/>
          <w:lang w:eastAsia="ar-SA"/>
        </w:rPr>
      </w:pPr>
    </w:p>
    <w:p w:rsidR="00BE67A3" w:rsidRDefault="00BE67A3" w:rsidP="00BE67A3">
      <w:pPr>
        <w:suppressAutoHyphens/>
        <w:ind w:firstLine="708"/>
        <w:jc w:val="both"/>
        <w:rPr>
          <w:rFonts w:ascii="Verdana" w:hAnsi="Verdana"/>
          <w:b/>
          <w:sz w:val="20"/>
          <w:szCs w:val="20"/>
          <w:lang w:eastAsia="ar-SA"/>
        </w:rPr>
      </w:pPr>
      <w:proofErr w:type="gramStart"/>
      <w:r>
        <w:rPr>
          <w:rFonts w:ascii="Verdana" w:hAnsi="Verdana"/>
          <w:b/>
          <w:sz w:val="20"/>
          <w:szCs w:val="20"/>
          <w:lang w:eastAsia="ar-SA"/>
        </w:rPr>
        <w:t>DUODÉCIMO.-</w:t>
      </w:r>
      <w:proofErr w:type="gramEnd"/>
      <w:r>
        <w:rPr>
          <w:rFonts w:ascii="Verdana" w:hAnsi="Verdana"/>
          <w:b/>
          <w:sz w:val="20"/>
          <w:szCs w:val="20"/>
          <w:lang w:eastAsia="ar-SA"/>
        </w:rPr>
        <w:t xml:space="preserve"> Informe de Intervención del cumplimiento de estabilidad presupuestaria.</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autoSpaceDE w:val="0"/>
        <w:ind w:firstLine="708"/>
        <w:jc w:val="both"/>
        <w:rPr>
          <w:rFonts w:ascii="Verdana" w:hAnsi="Verdana"/>
          <w:sz w:val="20"/>
          <w:szCs w:val="20"/>
          <w:lang w:eastAsia="ar-SA"/>
        </w:rPr>
      </w:pPr>
      <w:r>
        <w:rPr>
          <w:rFonts w:ascii="Verdana" w:hAnsi="Verdana"/>
          <w:sz w:val="20"/>
          <w:szCs w:val="20"/>
          <w:lang w:eastAsia="ar-SA"/>
        </w:rPr>
        <w:t>El artículo 16.1 y 2 del Real Decreto 1463/2007, de 2 de noviembre, por el que se aprueba el Reglamento de Desarrollo de la Ley de Estabilidad Presupuestaria, en su aplicación a las Entidades Locales, dispone que la Intervención Local elevará al Pleno un informe sobre el cumplimiento del objetivo de estabilidad de la propia Entidad Local y de sus organismos y entidades dependientes. Este informe se emitirá con carácter independiente y se incorporará al previsto en el art. 168.4 del TRLHL en el supuesto de aprobación del Presupuesto General de la entidad local.</w:t>
      </w:r>
    </w:p>
    <w:p w:rsidR="00BE67A3" w:rsidRDefault="00BE67A3" w:rsidP="00BE67A3">
      <w:pPr>
        <w:suppressAutoHyphens/>
        <w:autoSpaceDE w:val="0"/>
        <w:ind w:firstLine="708"/>
        <w:jc w:val="both"/>
        <w:rPr>
          <w:rFonts w:ascii="Verdana" w:hAnsi="Verdana"/>
          <w:sz w:val="20"/>
          <w:szCs w:val="20"/>
          <w:lang w:eastAsia="ar-SA"/>
        </w:rPr>
      </w:pPr>
      <w:r>
        <w:rPr>
          <w:rFonts w:ascii="Verdana" w:hAnsi="Verdana"/>
          <w:sz w:val="20"/>
          <w:szCs w:val="20"/>
          <w:lang w:eastAsia="ar-SA"/>
        </w:rPr>
        <w:t xml:space="preserve"> </w:t>
      </w:r>
    </w:p>
    <w:p w:rsidR="00B77ACF" w:rsidRPr="005D0F6B" w:rsidRDefault="00BE67A3" w:rsidP="005D0F6B">
      <w:pPr>
        <w:suppressAutoHyphens/>
        <w:ind w:firstLine="360"/>
        <w:jc w:val="both"/>
        <w:rPr>
          <w:rFonts w:ascii="Verdana" w:hAnsi="Verdana"/>
          <w:sz w:val="20"/>
          <w:szCs w:val="20"/>
          <w:lang w:eastAsia="ar-SA"/>
        </w:rPr>
      </w:pPr>
      <w:r>
        <w:rPr>
          <w:rFonts w:ascii="Verdana" w:hAnsi="Verdana"/>
          <w:sz w:val="20"/>
          <w:szCs w:val="20"/>
          <w:lang w:eastAsia="ar-SA"/>
        </w:rPr>
        <w:tab/>
      </w:r>
    </w:p>
    <w:p w:rsidR="00BE67A3" w:rsidRDefault="00BE67A3" w:rsidP="00BE67A3">
      <w:pPr>
        <w:suppressAutoHyphens/>
        <w:ind w:firstLine="283"/>
        <w:jc w:val="both"/>
        <w:rPr>
          <w:rFonts w:ascii="Verdana" w:hAnsi="Verdana" w:cs="Arial"/>
          <w:sz w:val="20"/>
          <w:szCs w:val="20"/>
          <w:lang w:eastAsia="ar-SA"/>
        </w:rPr>
      </w:pPr>
      <w:r>
        <w:rPr>
          <w:rFonts w:ascii="Verdana" w:hAnsi="Verdana" w:cs="Arial"/>
          <w:sz w:val="20"/>
          <w:szCs w:val="20"/>
          <w:lang w:eastAsia="ar-SA"/>
        </w:rPr>
        <w:lastRenderedPageBreak/>
        <w:tab/>
        <w:t>Por todo lo expuesto, se informa favorablemente el Proyecto de Presupuesto del Ejercicio Económico 202</w:t>
      </w:r>
      <w:r w:rsidR="00A616BF">
        <w:rPr>
          <w:rFonts w:ascii="Verdana" w:hAnsi="Verdana" w:cs="Arial"/>
          <w:sz w:val="20"/>
          <w:szCs w:val="20"/>
          <w:lang w:eastAsia="ar-SA"/>
        </w:rPr>
        <w:t>4</w:t>
      </w:r>
      <w:r>
        <w:rPr>
          <w:rFonts w:ascii="Verdana" w:hAnsi="Verdana" w:cs="Arial"/>
          <w:sz w:val="20"/>
          <w:szCs w:val="20"/>
          <w:lang w:eastAsia="ar-SA"/>
        </w:rPr>
        <w:t xml:space="preserve">, con la salvedad del incumplimiento del plazo de presentación del mismo al Pleno. </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ind w:firstLine="283"/>
        <w:jc w:val="both"/>
        <w:rPr>
          <w:rFonts w:ascii="Verdana" w:hAnsi="Verdana"/>
          <w:sz w:val="20"/>
          <w:szCs w:val="20"/>
          <w:lang w:eastAsia="ar-SA"/>
        </w:rPr>
      </w:pPr>
      <w:r>
        <w:rPr>
          <w:rFonts w:ascii="Verdana" w:hAnsi="Verdana"/>
          <w:bCs/>
          <w:sz w:val="20"/>
          <w:szCs w:val="20"/>
          <w:lang w:eastAsia="ar-SA"/>
        </w:rPr>
        <w:t xml:space="preserve">Este es el informe que en cumplimiento de imperativo legal se emite, sin perjuicio de cualquier otro mejor fundado en derecho y de la decisión que finalmente se adopte. </w:t>
      </w:r>
    </w:p>
    <w:p w:rsidR="00BE67A3" w:rsidRDefault="00BE67A3" w:rsidP="00BE67A3">
      <w:pPr>
        <w:suppressAutoHyphens/>
        <w:jc w:val="both"/>
        <w:rPr>
          <w:rFonts w:ascii="Verdana" w:hAnsi="Verdana"/>
          <w:sz w:val="20"/>
          <w:szCs w:val="20"/>
          <w:lang w:eastAsia="ar-SA"/>
        </w:rPr>
      </w:pPr>
    </w:p>
    <w:p w:rsidR="00BE67A3" w:rsidRDefault="00BE67A3" w:rsidP="00BE67A3">
      <w:pPr>
        <w:suppressAutoHyphens/>
        <w:jc w:val="both"/>
        <w:rPr>
          <w:rFonts w:ascii="Verdana" w:hAnsi="Verdana"/>
          <w:sz w:val="20"/>
          <w:szCs w:val="20"/>
          <w:lang w:eastAsia="ar-SA"/>
        </w:rPr>
      </w:pPr>
    </w:p>
    <w:p w:rsidR="00BE67A3" w:rsidRDefault="00BE67A3" w:rsidP="00BE67A3">
      <w:pPr>
        <w:suppressAutoHyphens/>
        <w:jc w:val="center"/>
        <w:rPr>
          <w:rFonts w:ascii="Verdana" w:hAnsi="Verdana"/>
          <w:sz w:val="20"/>
          <w:szCs w:val="20"/>
          <w:lang w:eastAsia="ar-SA"/>
        </w:rPr>
      </w:pPr>
      <w:r>
        <w:rPr>
          <w:rFonts w:ascii="Verdana" w:hAnsi="Verdana"/>
          <w:sz w:val="20"/>
          <w:szCs w:val="20"/>
          <w:lang w:eastAsia="ar-SA"/>
        </w:rPr>
        <w:t>Campo de Criptana, a la fecha que figura al margen</w:t>
      </w:r>
    </w:p>
    <w:p w:rsidR="00BE67A3" w:rsidRDefault="00BE67A3" w:rsidP="00BE67A3">
      <w:pPr>
        <w:suppressAutoHyphens/>
        <w:jc w:val="center"/>
        <w:rPr>
          <w:rFonts w:ascii="Verdana" w:hAnsi="Verdana"/>
          <w:sz w:val="20"/>
          <w:szCs w:val="20"/>
          <w:lang w:eastAsia="ar-SA"/>
        </w:rPr>
      </w:pPr>
    </w:p>
    <w:p w:rsidR="00BE67A3" w:rsidRDefault="00160EE8" w:rsidP="00BE67A3">
      <w:pPr>
        <w:suppressAutoHyphens/>
        <w:jc w:val="center"/>
        <w:rPr>
          <w:rFonts w:ascii="Verdana" w:hAnsi="Verdana"/>
          <w:sz w:val="20"/>
          <w:szCs w:val="20"/>
          <w:lang w:eastAsia="ar-SA"/>
        </w:rPr>
      </w:pPr>
      <w:r>
        <w:rPr>
          <w:rFonts w:ascii="Verdana" w:hAnsi="Verdana"/>
          <w:sz w:val="20"/>
          <w:szCs w:val="20"/>
          <w:lang w:eastAsia="ar-SA"/>
        </w:rPr>
        <w:t xml:space="preserve">LA INTERVENTORA. </w:t>
      </w:r>
      <w:bookmarkStart w:id="1" w:name="_GoBack"/>
      <w:bookmarkEnd w:id="1"/>
    </w:p>
    <w:p w:rsidR="00BE67A3" w:rsidRDefault="00BE67A3" w:rsidP="00BE67A3">
      <w:pPr>
        <w:suppressAutoHyphens/>
        <w:jc w:val="center"/>
        <w:rPr>
          <w:rFonts w:ascii="Verdana" w:hAnsi="Verdana"/>
          <w:sz w:val="20"/>
          <w:szCs w:val="20"/>
          <w:lang w:eastAsia="ar-SA"/>
        </w:rPr>
      </w:pPr>
    </w:p>
    <w:p w:rsidR="00BE67A3" w:rsidRDefault="00BE67A3" w:rsidP="00BE67A3">
      <w:pPr>
        <w:suppressAutoHyphens/>
        <w:jc w:val="center"/>
        <w:rPr>
          <w:rFonts w:ascii="Verdana" w:hAnsi="Verdana"/>
          <w:sz w:val="20"/>
          <w:szCs w:val="20"/>
          <w:lang w:eastAsia="ar-SA"/>
        </w:rPr>
      </w:pPr>
    </w:p>
    <w:p w:rsidR="00BE67A3" w:rsidRDefault="00BE67A3" w:rsidP="00BE67A3">
      <w:pPr>
        <w:suppressAutoHyphens/>
        <w:jc w:val="center"/>
        <w:rPr>
          <w:rFonts w:ascii="Verdana" w:hAnsi="Verdana"/>
          <w:sz w:val="20"/>
          <w:szCs w:val="20"/>
          <w:lang w:eastAsia="ar-SA"/>
        </w:rPr>
      </w:pPr>
    </w:p>
    <w:bookmarkEnd w:id="0"/>
    <w:p w:rsidR="00C00801" w:rsidRDefault="00492ACB" w:rsidP="0002335C">
      <w:pPr>
        <w:pStyle w:val="Sangradetextonormal"/>
        <w:spacing w:after="0"/>
        <w:rPr>
          <w:rFonts w:ascii="Verdana" w:hAnsi="Verdana" w:cs="Arial"/>
          <w:b/>
          <w:sz w:val="20"/>
        </w:rPr>
      </w:pPr>
    </w:p>
    <w:sectPr w:rsidR="00C00801" w:rsidSect="00C00801">
      <w:headerReference w:type="even" r:id="rId8"/>
      <w:headerReference w:type="default" r:id="rId9"/>
      <w:footerReference w:type="even" r:id="rId10"/>
      <w:footerReference w:type="default" r:id="rId11"/>
      <w:headerReference w:type="first" r:id="rId12"/>
      <w:footerReference w:type="first" r:id="rId13"/>
      <w:type w:val="continuous"/>
      <w:pgSz w:w="11906" w:h="16838"/>
      <w:pgMar w:top="2127" w:right="851" w:bottom="1418" w:left="1134" w:header="709"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ACB" w:rsidRDefault="00492ACB">
      <w:r>
        <w:separator/>
      </w:r>
    </w:p>
  </w:endnote>
  <w:endnote w:type="continuationSeparator" w:id="0">
    <w:p w:rsidR="00492ACB" w:rsidRDefault="0049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E65" w:rsidRDefault="00BE67A3" w:rsidP="00442E65">
    <w:pPr>
      <w:rPr>
        <w:rFonts w:ascii="Verdana" w:hAnsi="Verdana"/>
        <w:sz w:val="16"/>
      </w:rPr>
    </w:pPr>
    <w:r>
      <w:rPr>
        <w:rFonts w:ascii="Verdana" w:hAnsi="Verdana"/>
        <w:noProof/>
        <w:sz w:val="16"/>
      </w:rPr>
      <w:drawing>
        <wp:anchor distT="0" distB="0" distL="114300" distR="114300" simplePos="0" relativeHeight="251661312" behindDoc="0" locked="0" layoutInCell="1" allowOverlap="1">
          <wp:simplePos x="0" y="0"/>
          <wp:positionH relativeFrom="column">
            <wp:posOffset>5135880</wp:posOffset>
          </wp:positionH>
          <wp:positionV relativeFrom="paragraph">
            <wp:posOffset>-600710</wp:posOffset>
          </wp:positionV>
          <wp:extent cx="1143000" cy="1143000"/>
          <wp:effectExtent l="0" t="0" r="0" b="0"/>
          <wp:wrapNone/>
          <wp:docPr id="5" name="Imagen 5" descr="Logo Tierra de Gig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erra de Gigant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anchor>
      </w:drawing>
    </w:r>
    <w:r>
      <w:rPr>
        <w:rFonts w:ascii="Verdana" w:hAnsi="Verdana"/>
        <w:sz w:val="16"/>
      </w:rPr>
      <w:t>Plaza Mayor, 1 – 13610 Campo de Criptana, Ciudad Real</w:t>
    </w:r>
  </w:p>
  <w:p w:rsidR="00442E65" w:rsidRDefault="00BE67A3" w:rsidP="00442E65">
    <w:pPr>
      <w:rPr>
        <w:rFonts w:ascii="Verdana" w:hAnsi="Verdana"/>
        <w:sz w:val="16"/>
        <w:lang w:val="en-GB"/>
      </w:rPr>
    </w:pPr>
    <w:r>
      <w:rPr>
        <w:rFonts w:ascii="Verdana" w:hAnsi="Verdana"/>
        <w:sz w:val="16"/>
        <w:lang w:val="en-GB"/>
      </w:rPr>
      <w:t>Telfs.: 926564277 – 562057 – 561242</w:t>
    </w:r>
  </w:p>
  <w:p w:rsidR="00442E65" w:rsidRDefault="00BE67A3" w:rsidP="00442E65">
    <w:pPr>
      <w:rPr>
        <w:rFonts w:ascii="Verdana" w:hAnsi="Verdana"/>
        <w:sz w:val="16"/>
        <w:lang w:val="en-GB"/>
      </w:rPr>
    </w:pPr>
    <w:r>
      <w:rPr>
        <w:rFonts w:ascii="Verdana" w:hAnsi="Verdana"/>
        <w:sz w:val="16"/>
        <w:lang w:val="en-GB"/>
      </w:rPr>
      <w:t xml:space="preserve">e-mail: </w:t>
    </w:r>
    <w:hyperlink r:id="rId2" w:history="1">
      <w:r>
        <w:rPr>
          <w:rStyle w:val="Hipervnculo"/>
          <w:rFonts w:ascii="Verdana" w:hAnsi="Verdana"/>
          <w:sz w:val="16"/>
          <w:lang w:val="en-GB"/>
        </w:rPr>
        <w:t>ayuntamiento@campodecriptana.es</w:t>
      </w:r>
    </w:hyperlink>
  </w:p>
  <w:p w:rsidR="00442E65" w:rsidRDefault="00BE67A3" w:rsidP="00442E65">
    <w:pPr>
      <w:rPr>
        <w:rFonts w:ascii="Verdana" w:hAnsi="Verdana"/>
        <w:sz w:val="16"/>
      </w:rPr>
    </w:pPr>
    <w:r>
      <w:rPr>
        <w:rFonts w:ascii="Verdana" w:hAnsi="Verdana"/>
        <w:sz w:val="16"/>
      </w:rPr>
      <w:t>C.I.F.: P-1302800-F / Nº de Registro de Entidades Locales 01130283</w:t>
    </w:r>
  </w:p>
  <w:p w:rsidR="00AF7A81" w:rsidRDefault="00492ACB" w:rsidP="00442E65">
    <w:pPr>
      <w:rPr>
        <w:rFonts w:ascii="Verdana" w:hAnsi="Verdana"/>
        <w:sz w:val="16"/>
      </w:rPr>
    </w:pPr>
  </w:p>
  <w:p w:rsidR="00AF7A81" w:rsidRDefault="00492ACB" w:rsidP="00442E65">
    <w:pPr>
      <w:rPr>
        <w:rFonts w:ascii="Verdana" w:hAnsi="Verdana"/>
        <w:sz w:val="16"/>
      </w:rPr>
    </w:pPr>
  </w:p>
  <w:p w:rsidR="00AF7A81" w:rsidRDefault="00492ACB" w:rsidP="00442E65">
    <w:pPr>
      <w:rPr>
        <w:rFonts w:ascii="Verdana" w:hAnsi="Verdana"/>
        <w:sz w:val="16"/>
      </w:rPr>
    </w:pPr>
  </w:p>
  <w:p w:rsidR="00AF7A81" w:rsidRDefault="00492ACB" w:rsidP="00442E65">
    <w:pPr>
      <w:rPr>
        <w:rFonts w:ascii="Verdana" w:hAnsi="Verdana"/>
        <w:sz w:val="16"/>
      </w:rPr>
    </w:pPr>
  </w:p>
  <w:p w:rsidR="00AF7A81" w:rsidRDefault="00492ACB" w:rsidP="00442E65">
    <w:pPr>
      <w:rPr>
        <w:rFonts w:ascii="Verdana" w:hAnsi="Verdana"/>
        <w:sz w:val="16"/>
      </w:rPr>
    </w:pPr>
  </w:p>
  <w:p w:rsidR="00331519" w:rsidRDefault="00492A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21" w:rsidRDefault="00BE67A3" w:rsidP="00324521">
    <w:pPr>
      <w:rPr>
        <w:rFonts w:ascii="Verdana" w:hAnsi="Verdana"/>
        <w:sz w:val="16"/>
      </w:rPr>
    </w:pPr>
    <w:r>
      <w:rPr>
        <w:rFonts w:ascii="Verdana" w:hAnsi="Verdana"/>
        <w:noProof/>
        <w:sz w:val="16"/>
      </w:rPr>
      <w:drawing>
        <wp:anchor distT="0" distB="0" distL="114300" distR="114300" simplePos="0" relativeHeight="251659264" behindDoc="0" locked="0" layoutInCell="1" allowOverlap="1">
          <wp:simplePos x="0" y="0"/>
          <wp:positionH relativeFrom="column">
            <wp:posOffset>5135880</wp:posOffset>
          </wp:positionH>
          <wp:positionV relativeFrom="paragraph">
            <wp:posOffset>-600710</wp:posOffset>
          </wp:positionV>
          <wp:extent cx="1143000" cy="1143000"/>
          <wp:effectExtent l="0" t="0" r="0" b="0"/>
          <wp:wrapNone/>
          <wp:docPr id="2" name="Imagen 2" descr="Logo Tierra de Gig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erra de Gigant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anchor>
      </w:drawing>
    </w:r>
    <w:r>
      <w:rPr>
        <w:rFonts w:ascii="Verdana" w:hAnsi="Verdana"/>
        <w:sz w:val="16"/>
      </w:rPr>
      <w:t>Plaza Mayor, 1 – 13610 Campo de Criptana, Ciudad Real</w:t>
    </w:r>
  </w:p>
  <w:p w:rsidR="00324521" w:rsidRDefault="00BE67A3" w:rsidP="00324521">
    <w:pPr>
      <w:rPr>
        <w:rFonts w:ascii="Verdana" w:hAnsi="Verdana"/>
        <w:sz w:val="16"/>
        <w:lang w:val="en-GB"/>
      </w:rPr>
    </w:pPr>
    <w:r>
      <w:rPr>
        <w:rFonts w:ascii="Verdana" w:hAnsi="Verdana"/>
        <w:sz w:val="16"/>
        <w:lang w:val="en-GB"/>
      </w:rPr>
      <w:t>Telfs.: 926564277 – 562057 – 561242</w:t>
    </w:r>
  </w:p>
  <w:p w:rsidR="00324521" w:rsidRDefault="00BE67A3" w:rsidP="00324521">
    <w:pPr>
      <w:rPr>
        <w:rFonts w:ascii="Verdana" w:hAnsi="Verdana"/>
        <w:sz w:val="16"/>
        <w:lang w:val="en-GB"/>
      </w:rPr>
    </w:pPr>
    <w:r>
      <w:rPr>
        <w:rFonts w:ascii="Verdana" w:hAnsi="Verdana"/>
        <w:sz w:val="16"/>
        <w:lang w:val="en-GB"/>
      </w:rPr>
      <w:t xml:space="preserve">e-mail: </w:t>
    </w:r>
    <w:hyperlink r:id="rId2" w:history="1">
      <w:r>
        <w:rPr>
          <w:rStyle w:val="Hipervnculo"/>
          <w:rFonts w:ascii="Verdana" w:hAnsi="Verdana"/>
          <w:sz w:val="16"/>
          <w:lang w:val="en-GB"/>
        </w:rPr>
        <w:t>ayuntamiento@campodecriptana.es</w:t>
      </w:r>
    </w:hyperlink>
  </w:p>
  <w:p w:rsidR="00324521" w:rsidRDefault="00BE67A3" w:rsidP="00324521">
    <w:pPr>
      <w:rPr>
        <w:rFonts w:ascii="Verdana" w:hAnsi="Verdana"/>
        <w:sz w:val="16"/>
      </w:rPr>
    </w:pPr>
    <w:r>
      <w:rPr>
        <w:rFonts w:ascii="Verdana" w:hAnsi="Verdana"/>
        <w:sz w:val="16"/>
      </w:rPr>
      <w:t>C.I.F.: P-1302800-F / Nº de Registro de Entidades Locales 01130283</w:t>
    </w:r>
  </w:p>
  <w:p w:rsidR="00D74B9D" w:rsidRDefault="00492ACB" w:rsidP="00324521">
    <w:pPr>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519" w:rsidRDefault="00492A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ACB" w:rsidRDefault="00492ACB">
      <w:r>
        <w:separator/>
      </w:r>
    </w:p>
  </w:footnote>
  <w:footnote w:type="continuationSeparator" w:id="0">
    <w:p w:rsidR="00492ACB" w:rsidRDefault="0049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E65" w:rsidRDefault="00BE67A3" w:rsidP="00442E65">
    <w:pPr>
      <w:ind w:left="142"/>
      <w:rPr>
        <w:rFonts w:ascii="Verdana" w:hAnsi="Verdana"/>
        <w:sz w:val="16"/>
      </w:rPr>
    </w:pPr>
    <w:r>
      <w:rPr>
        <w:noProof/>
        <w:sz w:val="22"/>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-25400</wp:posOffset>
          </wp:positionV>
          <wp:extent cx="704215" cy="704215"/>
          <wp:effectExtent l="0" t="0" r="635" b="635"/>
          <wp:wrapNone/>
          <wp:docPr id="3" name="Imagen 3" descr="Escudo Campo de Criptan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ampo de Criptana negr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215" cy="704215"/>
                  </a:xfrm>
                  <a:prstGeom prst="rect">
                    <a:avLst/>
                  </a:prstGeom>
                  <a:noFill/>
                  <a:ln>
                    <a:noFill/>
                  </a:ln>
                </pic:spPr>
              </pic:pic>
            </a:graphicData>
          </a:graphic>
        </wp:anchor>
      </w:drawing>
    </w:r>
    <w:r>
      <w:rPr>
        <w:rFonts w:ascii="Verdana" w:hAnsi="Verdana"/>
        <w:sz w:val="16"/>
      </w:rPr>
      <w:t xml:space="preserve">E    </w:t>
    </w:r>
  </w:p>
  <w:p w:rsidR="00442E65" w:rsidRPr="001C3B04" w:rsidRDefault="00BE67A3" w:rsidP="00442E65">
    <w:pPr>
      <w:ind w:left="142"/>
      <w:rPr>
        <w:rFonts w:ascii="Verdana" w:hAnsi="Verdana"/>
        <w:sz w:val="16"/>
      </w:rPr>
    </w:pPr>
    <w:r>
      <w:rPr>
        <w:rFonts w:ascii="Verdana" w:hAnsi="Verdana"/>
        <w:sz w:val="16"/>
      </w:rPr>
      <w:t xml:space="preserve">              </w:t>
    </w:r>
    <w:r w:rsidRPr="00C8400B">
      <w:rPr>
        <w:rFonts w:ascii="Verdana" w:hAnsi="Verdana"/>
        <w:sz w:val="18"/>
      </w:rPr>
      <w:t>Excmo. Ayuntamiento de</w:t>
    </w:r>
  </w:p>
  <w:p w:rsidR="00442E65" w:rsidRPr="001C3B04" w:rsidRDefault="00BE67A3" w:rsidP="00442E65">
    <w:pPr>
      <w:pStyle w:val="Encabezado"/>
      <w:ind w:left="-142"/>
      <w:rPr>
        <w:sz w:val="22"/>
      </w:rPr>
    </w:pPr>
    <w:r>
      <w:rPr>
        <w:rFonts w:ascii="Verdana" w:hAnsi="Verdana"/>
        <w:sz w:val="16"/>
      </w:rPr>
      <w:t xml:space="preserve">                   </w:t>
    </w:r>
    <w:r w:rsidRPr="00C8400B">
      <w:rPr>
        <w:rFonts w:ascii="Verdana" w:hAnsi="Verdana"/>
        <w:b/>
        <w:bCs/>
        <w:sz w:val="20"/>
      </w:rPr>
      <w:t>Campo de Criptana</w:t>
    </w:r>
  </w:p>
  <w:p w:rsidR="00331519" w:rsidRDefault="00492A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521" w:rsidRDefault="00BE67A3" w:rsidP="00324521">
    <w:pPr>
      <w:ind w:left="142"/>
      <w:rPr>
        <w:rFonts w:ascii="Verdana" w:hAnsi="Verdana"/>
        <w:sz w:val="16"/>
      </w:rPr>
    </w:pPr>
    <w:r>
      <w:rPr>
        <w:noProof/>
        <w:sz w:val="22"/>
      </w:rPr>
      <w:drawing>
        <wp:anchor distT="0" distB="0" distL="114300" distR="114300" simplePos="0" relativeHeight="251658240" behindDoc="0" locked="0" layoutInCell="1" allowOverlap="1">
          <wp:simplePos x="0" y="0"/>
          <wp:positionH relativeFrom="column">
            <wp:posOffset>-153035</wp:posOffset>
          </wp:positionH>
          <wp:positionV relativeFrom="paragraph">
            <wp:posOffset>-25400</wp:posOffset>
          </wp:positionV>
          <wp:extent cx="704215" cy="704215"/>
          <wp:effectExtent l="0" t="0" r="635" b="635"/>
          <wp:wrapNone/>
          <wp:docPr id="1" name="Imagen 1" descr="Escudo Campo de Criptan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ampo de Criptana negr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215" cy="704215"/>
                  </a:xfrm>
                  <a:prstGeom prst="rect">
                    <a:avLst/>
                  </a:prstGeom>
                  <a:noFill/>
                  <a:ln>
                    <a:noFill/>
                  </a:ln>
                </pic:spPr>
              </pic:pic>
            </a:graphicData>
          </a:graphic>
        </wp:anchor>
      </w:drawing>
    </w:r>
    <w:r>
      <w:rPr>
        <w:rFonts w:ascii="Verdana" w:hAnsi="Verdana"/>
        <w:sz w:val="16"/>
      </w:rPr>
      <w:t xml:space="preserve">E    </w:t>
    </w:r>
  </w:p>
  <w:p w:rsidR="00324521" w:rsidRPr="001C3B04" w:rsidRDefault="00BE67A3" w:rsidP="00324521">
    <w:pPr>
      <w:ind w:left="142"/>
      <w:rPr>
        <w:rFonts w:ascii="Verdana" w:hAnsi="Verdana"/>
        <w:sz w:val="16"/>
      </w:rPr>
    </w:pPr>
    <w:r>
      <w:rPr>
        <w:rFonts w:ascii="Verdana" w:hAnsi="Verdana"/>
        <w:sz w:val="16"/>
      </w:rPr>
      <w:t xml:space="preserve">              </w:t>
    </w:r>
    <w:r w:rsidRPr="00C8400B">
      <w:rPr>
        <w:rFonts w:ascii="Verdana" w:hAnsi="Verdana"/>
        <w:sz w:val="18"/>
      </w:rPr>
      <w:t>Excmo. Ayuntamiento de</w:t>
    </w:r>
  </w:p>
  <w:p w:rsidR="00324521" w:rsidRPr="001C3B04" w:rsidRDefault="00BE67A3" w:rsidP="00324521">
    <w:pPr>
      <w:pStyle w:val="Encabezado"/>
      <w:ind w:left="-142"/>
      <w:rPr>
        <w:sz w:val="22"/>
      </w:rPr>
    </w:pPr>
    <w:r>
      <w:rPr>
        <w:rFonts w:ascii="Verdana" w:hAnsi="Verdana"/>
        <w:sz w:val="16"/>
      </w:rPr>
      <w:t xml:space="preserve">                   </w:t>
    </w:r>
    <w:r w:rsidRPr="00C8400B">
      <w:rPr>
        <w:rFonts w:ascii="Verdana" w:hAnsi="Verdana"/>
        <w:b/>
        <w:bCs/>
        <w:sz w:val="20"/>
      </w:rPr>
      <w:t>Campo de Criptana</w:t>
    </w:r>
  </w:p>
  <w:p w:rsidR="00324521" w:rsidRPr="001C3B04" w:rsidRDefault="00492ACB" w:rsidP="00324521">
    <w:pPr>
      <w:pStyle w:val="Encabezado"/>
      <w:rPr>
        <w:sz w:val="22"/>
      </w:rPr>
    </w:pPr>
  </w:p>
  <w:p w:rsidR="00324521" w:rsidRDefault="00492ACB" w:rsidP="00324521"/>
  <w:p w:rsidR="00324521" w:rsidRDefault="00492A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519" w:rsidRDefault="00492A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28045677"/>
    <w:multiLevelType w:val="hybridMultilevel"/>
    <w:tmpl w:val="BC0831B2"/>
    <w:lvl w:ilvl="0" w:tplc="7CE26CE6">
      <w:start w:val="1"/>
      <w:numFmt w:val="ordin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68E73483"/>
    <w:multiLevelType w:val="hybridMultilevel"/>
    <w:tmpl w:val="96CA5DAE"/>
    <w:lvl w:ilvl="0" w:tplc="9E6C279A">
      <w:start w:val="1"/>
      <w:numFmt w:val="bullet"/>
      <w:lvlText w:val=""/>
      <w:lvlJc w:val="left"/>
      <w:pPr>
        <w:tabs>
          <w:tab w:val="num" w:pos="1428"/>
        </w:tabs>
        <w:ind w:left="1428" w:hanging="360"/>
      </w:pPr>
      <w:rPr>
        <w:rFonts w:ascii="Wingdings" w:hAnsi="Wingdings" w:hint="default"/>
      </w:rPr>
    </w:lvl>
    <w:lvl w:ilvl="1" w:tplc="9E046A38" w:tentative="1">
      <w:start w:val="1"/>
      <w:numFmt w:val="bullet"/>
      <w:lvlText w:val="o"/>
      <w:lvlJc w:val="left"/>
      <w:pPr>
        <w:tabs>
          <w:tab w:val="num" w:pos="2148"/>
        </w:tabs>
        <w:ind w:left="2148" w:hanging="360"/>
      </w:pPr>
      <w:rPr>
        <w:rFonts w:ascii="Courier New" w:hAnsi="Courier New" w:hint="default"/>
      </w:rPr>
    </w:lvl>
    <w:lvl w:ilvl="2" w:tplc="64127B54" w:tentative="1">
      <w:start w:val="1"/>
      <w:numFmt w:val="bullet"/>
      <w:lvlText w:val=""/>
      <w:lvlJc w:val="left"/>
      <w:pPr>
        <w:tabs>
          <w:tab w:val="num" w:pos="2868"/>
        </w:tabs>
        <w:ind w:left="2868" w:hanging="360"/>
      </w:pPr>
      <w:rPr>
        <w:rFonts w:ascii="Wingdings" w:hAnsi="Wingdings" w:hint="default"/>
      </w:rPr>
    </w:lvl>
    <w:lvl w:ilvl="3" w:tplc="ADAC505C" w:tentative="1">
      <w:start w:val="1"/>
      <w:numFmt w:val="bullet"/>
      <w:lvlText w:val=""/>
      <w:lvlJc w:val="left"/>
      <w:pPr>
        <w:tabs>
          <w:tab w:val="num" w:pos="3588"/>
        </w:tabs>
        <w:ind w:left="3588" w:hanging="360"/>
      </w:pPr>
      <w:rPr>
        <w:rFonts w:ascii="Symbol" w:hAnsi="Symbol" w:hint="default"/>
      </w:rPr>
    </w:lvl>
    <w:lvl w:ilvl="4" w:tplc="37B80C3A" w:tentative="1">
      <w:start w:val="1"/>
      <w:numFmt w:val="bullet"/>
      <w:lvlText w:val="o"/>
      <w:lvlJc w:val="left"/>
      <w:pPr>
        <w:tabs>
          <w:tab w:val="num" w:pos="4308"/>
        </w:tabs>
        <w:ind w:left="4308" w:hanging="360"/>
      </w:pPr>
      <w:rPr>
        <w:rFonts w:ascii="Courier New" w:hAnsi="Courier New" w:hint="default"/>
      </w:rPr>
    </w:lvl>
    <w:lvl w:ilvl="5" w:tplc="726C0088" w:tentative="1">
      <w:start w:val="1"/>
      <w:numFmt w:val="bullet"/>
      <w:lvlText w:val=""/>
      <w:lvlJc w:val="left"/>
      <w:pPr>
        <w:tabs>
          <w:tab w:val="num" w:pos="5028"/>
        </w:tabs>
        <w:ind w:left="5028" w:hanging="360"/>
      </w:pPr>
      <w:rPr>
        <w:rFonts w:ascii="Wingdings" w:hAnsi="Wingdings" w:hint="default"/>
      </w:rPr>
    </w:lvl>
    <w:lvl w:ilvl="6" w:tplc="AF6670BC" w:tentative="1">
      <w:start w:val="1"/>
      <w:numFmt w:val="bullet"/>
      <w:lvlText w:val=""/>
      <w:lvlJc w:val="left"/>
      <w:pPr>
        <w:tabs>
          <w:tab w:val="num" w:pos="5748"/>
        </w:tabs>
        <w:ind w:left="5748" w:hanging="360"/>
      </w:pPr>
      <w:rPr>
        <w:rFonts w:ascii="Symbol" w:hAnsi="Symbol" w:hint="default"/>
      </w:rPr>
    </w:lvl>
    <w:lvl w:ilvl="7" w:tplc="4D3442A2" w:tentative="1">
      <w:start w:val="1"/>
      <w:numFmt w:val="bullet"/>
      <w:lvlText w:val="o"/>
      <w:lvlJc w:val="left"/>
      <w:pPr>
        <w:tabs>
          <w:tab w:val="num" w:pos="6468"/>
        </w:tabs>
        <w:ind w:left="6468" w:hanging="360"/>
      </w:pPr>
      <w:rPr>
        <w:rFonts w:ascii="Courier New" w:hAnsi="Courier New" w:hint="default"/>
      </w:rPr>
    </w:lvl>
    <w:lvl w:ilvl="8" w:tplc="A026385E" w:tentative="1">
      <w:start w:val="1"/>
      <w:numFmt w:val="bullet"/>
      <w:lvlText w:val=""/>
      <w:lvlJc w:val="left"/>
      <w:pPr>
        <w:tabs>
          <w:tab w:val="num" w:pos="7188"/>
        </w:tabs>
        <w:ind w:left="718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3"/>
    <w:rsid w:val="000B1B05"/>
    <w:rsid w:val="00160EE8"/>
    <w:rsid w:val="001D6BDC"/>
    <w:rsid w:val="00310C64"/>
    <w:rsid w:val="0044318D"/>
    <w:rsid w:val="00492ACB"/>
    <w:rsid w:val="00525A9E"/>
    <w:rsid w:val="00556847"/>
    <w:rsid w:val="005D0F6B"/>
    <w:rsid w:val="00650CAC"/>
    <w:rsid w:val="006C6D0D"/>
    <w:rsid w:val="009376FF"/>
    <w:rsid w:val="00997620"/>
    <w:rsid w:val="00A23779"/>
    <w:rsid w:val="00A616BF"/>
    <w:rsid w:val="00B77ACF"/>
    <w:rsid w:val="00BE67A3"/>
    <w:rsid w:val="00C1179E"/>
    <w:rsid w:val="00E07E6D"/>
    <w:rsid w:val="00E8038F"/>
    <w:rsid w:val="00EF74DF"/>
    <w:rsid w:val="00F66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6CC5A"/>
  <w15:docId w15:val="{67CB4B2E-9A57-4304-BB8F-21B45A3C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A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9431DF"/>
    <w:pPr>
      <w:jc w:val="both"/>
    </w:pPr>
  </w:style>
  <w:style w:type="character" w:customStyle="1" w:styleId="TextoindependienteCar">
    <w:name w:val="Texto independiente Car"/>
    <w:link w:val="Textoindependiente"/>
    <w:uiPriority w:val="99"/>
    <w:semiHidden/>
    <w:rsid w:val="00AB1038"/>
    <w:rPr>
      <w:sz w:val="24"/>
      <w:szCs w:val="24"/>
    </w:rPr>
  </w:style>
  <w:style w:type="table" w:styleId="Tablaconcuadrcula">
    <w:name w:val="Table Grid"/>
    <w:basedOn w:val="Tablanormal"/>
    <w:uiPriority w:val="59"/>
    <w:rsid w:val="00EC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E357DE"/>
    <w:rPr>
      <w:rFonts w:cs="Times New Roman"/>
      <w:color w:val="4C6F99"/>
      <w:u w:val="none"/>
      <w:effect w:val="none"/>
    </w:rPr>
  </w:style>
  <w:style w:type="character" w:styleId="Textoennegrita">
    <w:name w:val="Strong"/>
    <w:uiPriority w:val="22"/>
    <w:qFormat/>
    <w:rsid w:val="00E357DE"/>
    <w:rPr>
      <w:rFonts w:cs="Times New Roman"/>
      <w:b/>
      <w:bCs/>
    </w:rPr>
  </w:style>
  <w:style w:type="paragraph" w:styleId="NormalWeb">
    <w:name w:val="Normal (Web)"/>
    <w:basedOn w:val="Normal"/>
    <w:uiPriority w:val="99"/>
    <w:rsid w:val="00E357DE"/>
    <w:pPr>
      <w:spacing w:before="100" w:beforeAutospacing="1" w:after="100" w:afterAutospacing="1"/>
      <w:jc w:val="both"/>
    </w:pPr>
    <w:rPr>
      <w:rFonts w:ascii="Verdana" w:hAnsi="Verdana"/>
      <w:sz w:val="17"/>
      <w:szCs w:val="17"/>
    </w:rPr>
  </w:style>
  <w:style w:type="paragraph" w:customStyle="1" w:styleId="Default">
    <w:name w:val="Default"/>
    <w:rsid w:val="00E357DE"/>
    <w:pPr>
      <w:autoSpaceDE w:val="0"/>
      <w:autoSpaceDN w:val="0"/>
      <w:adjustRightInd w:val="0"/>
      <w:jc w:val="both"/>
    </w:pPr>
    <w:rPr>
      <w:rFonts w:ascii="Georgia" w:hAnsi="Georgia" w:cs="Tahoma"/>
      <w:color w:val="0000FF"/>
      <w:sz w:val="27"/>
      <w:szCs w:val="27"/>
    </w:rPr>
  </w:style>
  <w:style w:type="paragraph" w:styleId="Sangradetextonormal">
    <w:name w:val="Body Text Indent"/>
    <w:basedOn w:val="Normal"/>
    <w:link w:val="SangradetextonormalCar"/>
    <w:uiPriority w:val="99"/>
    <w:rsid w:val="003A2279"/>
    <w:pPr>
      <w:spacing w:after="120"/>
      <w:ind w:left="283"/>
    </w:pPr>
  </w:style>
  <w:style w:type="character" w:customStyle="1" w:styleId="SangradetextonormalCar">
    <w:name w:val="Sangría de texto normal Car"/>
    <w:link w:val="Sangradetextonormal"/>
    <w:uiPriority w:val="99"/>
    <w:semiHidden/>
    <w:rsid w:val="00AB1038"/>
    <w:rPr>
      <w:sz w:val="24"/>
      <w:szCs w:val="24"/>
    </w:rPr>
  </w:style>
  <w:style w:type="paragraph" w:styleId="Sangra3detindependiente">
    <w:name w:val="Body Text Indent 3"/>
    <w:basedOn w:val="Normal"/>
    <w:link w:val="Sangra3detindependienteCar"/>
    <w:uiPriority w:val="99"/>
    <w:rsid w:val="003A2279"/>
    <w:pPr>
      <w:spacing w:after="120"/>
      <w:ind w:left="283"/>
    </w:pPr>
    <w:rPr>
      <w:sz w:val="16"/>
      <w:szCs w:val="16"/>
    </w:rPr>
  </w:style>
  <w:style w:type="character" w:customStyle="1" w:styleId="Sangra3detindependienteCar">
    <w:name w:val="Sangría 3 de t. independiente Car"/>
    <w:link w:val="Sangra3detindependiente"/>
    <w:uiPriority w:val="99"/>
    <w:semiHidden/>
    <w:rsid w:val="00AB1038"/>
    <w:rPr>
      <w:sz w:val="16"/>
      <w:szCs w:val="16"/>
    </w:rPr>
  </w:style>
  <w:style w:type="character" w:customStyle="1" w:styleId="apple-converted-space">
    <w:name w:val="apple-converted-space"/>
    <w:basedOn w:val="Fuentedeprrafopredeter"/>
    <w:rsid w:val="00B83CC7"/>
  </w:style>
  <w:style w:type="paragraph" w:styleId="Encabezado">
    <w:name w:val="header"/>
    <w:basedOn w:val="Normal"/>
    <w:link w:val="EncabezadoCar"/>
    <w:rsid w:val="00324521"/>
    <w:pPr>
      <w:tabs>
        <w:tab w:val="center" w:pos="4252"/>
        <w:tab w:val="right" w:pos="8504"/>
      </w:tabs>
    </w:pPr>
  </w:style>
  <w:style w:type="character" w:customStyle="1" w:styleId="EncabezadoCar">
    <w:name w:val="Encabezado Car"/>
    <w:link w:val="Encabezado"/>
    <w:rsid w:val="00324521"/>
    <w:rPr>
      <w:sz w:val="24"/>
      <w:szCs w:val="24"/>
    </w:rPr>
  </w:style>
  <w:style w:type="paragraph" w:styleId="Piedepgina">
    <w:name w:val="footer"/>
    <w:basedOn w:val="Normal"/>
    <w:link w:val="PiedepginaCar"/>
    <w:rsid w:val="00324521"/>
    <w:pPr>
      <w:tabs>
        <w:tab w:val="center" w:pos="4252"/>
        <w:tab w:val="right" w:pos="8504"/>
      </w:tabs>
    </w:pPr>
  </w:style>
  <w:style w:type="character" w:customStyle="1" w:styleId="PiedepginaCar">
    <w:name w:val="Pie de página Car"/>
    <w:link w:val="Piedepgina"/>
    <w:rsid w:val="00324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6904">
      <w:bodyDiv w:val="1"/>
      <w:marLeft w:val="0"/>
      <w:marRight w:val="0"/>
      <w:marTop w:val="0"/>
      <w:marBottom w:val="0"/>
      <w:divBdr>
        <w:top w:val="none" w:sz="0" w:space="0" w:color="auto"/>
        <w:left w:val="none" w:sz="0" w:space="0" w:color="auto"/>
        <w:bottom w:val="none" w:sz="0" w:space="0" w:color="auto"/>
        <w:right w:val="none" w:sz="0" w:space="0" w:color="auto"/>
      </w:divBdr>
    </w:div>
    <w:div w:id="10958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yuntamiento@campodecriptana.es"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ayuntamiento@campodecriptana.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931-8A0A-4178-86CF-B94F4EF4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2128</Words>
  <Characters>11708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RESOLUCIÓN DE LA ALCALDÍA Nº   /2012</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LA ALCALDÍA Nº   /2012</dc:title>
  <dc:creator>Miguel</dc:creator>
  <cp:lastModifiedBy>Claudia Chazarra Fernández</cp:lastModifiedBy>
  <cp:revision>10</cp:revision>
  <cp:lastPrinted>2012-10-03T10:37:00Z</cp:lastPrinted>
  <dcterms:created xsi:type="dcterms:W3CDTF">2023-12-18T10:28:00Z</dcterms:created>
  <dcterms:modified xsi:type="dcterms:W3CDTF">2024-01-29T11:56:00Z</dcterms:modified>
</cp:coreProperties>
</file>