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FF0" w:rsidRDefault="00D67FF0" w:rsidP="00D67FF0">
      <w:pPr>
        <w:spacing w:after="160" w:line="259" w:lineRule="auto"/>
        <w:jc w:val="center"/>
        <w:rPr>
          <w:rFonts w:ascii="Calibri" w:eastAsia="Calibri" w:hAnsi="Calibri" w:cs="Calibri"/>
          <w:b/>
          <w:sz w:val="22"/>
          <w:szCs w:val="22"/>
          <w:lang w:eastAsia="en-US"/>
        </w:rPr>
      </w:pPr>
    </w:p>
    <w:p w:rsidR="00D67FF0" w:rsidRPr="00D67FF0" w:rsidRDefault="00D67FF0" w:rsidP="00D67FF0">
      <w:pPr>
        <w:spacing w:line="259" w:lineRule="auto"/>
        <w:jc w:val="both"/>
        <w:rPr>
          <w:rFonts w:ascii="Verdana" w:eastAsia="Calibri" w:hAnsi="Verdana" w:cs="Calibri"/>
          <w:b/>
          <w:szCs w:val="22"/>
          <w:lang w:eastAsia="en-US"/>
        </w:rPr>
      </w:pPr>
      <w:r w:rsidRPr="00D67FF0">
        <w:rPr>
          <w:rFonts w:ascii="Verdana" w:eastAsia="Calibri" w:hAnsi="Verdana" w:cs="Calibri"/>
          <w:b/>
          <w:szCs w:val="22"/>
          <w:lang w:eastAsia="en-US"/>
        </w:rPr>
        <w:t xml:space="preserve">Expediente </w:t>
      </w:r>
      <w:proofErr w:type="spellStart"/>
      <w:r w:rsidRPr="00D67FF0">
        <w:rPr>
          <w:rFonts w:ascii="Verdana" w:eastAsia="Calibri" w:hAnsi="Verdana" w:cs="Calibri"/>
          <w:b/>
          <w:szCs w:val="22"/>
          <w:lang w:eastAsia="en-US"/>
        </w:rPr>
        <w:t>nº</w:t>
      </w:r>
      <w:proofErr w:type="spellEnd"/>
      <w:r w:rsidRPr="00D67FF0">
        <w:rPr>
          <w:rFonts w:ascii="Verdana" w:eastAsia="Calibri" w:hAnsi="Verdana" w:cs="Calibri"/>
          <w:b/>
          <w:szCs w:val="22"/>
          <w:lang w:eastAsia="en-US"/>
        </w:rPr>
        <w:t>; 2024/411.</w:t>
      </w:r>
    </w:p>
    <w:p w:rsidR="00D67FF0" w:rsidRDefault="00D67FF0" w:rsidP="00D67FF0">
      <w:pPr>
        <w:spacing w:line="259" w:lineRule="auto"/>
        <w:jc w:val="both"/>
        <w:rPr>
          <w:rFonts w:ascii="Verdana" w:eastAsia="Calibri" w:hAnsi="Verdana" w:cs="Calibri"/>
          <w:b/>
          <w:szCs w:val="22"/>
          <w:lang w:eastAsia="en-US"/>
        </w:rPr>
      </w:pPr>
      <w:r w:rsidRPr="00D67FF0">
        <w:rPr>
          <w:rFonts w:ascii="Verdana" w:eastAsia="Calibri" w:hAnsi="Verdana" w:cs="Calibri"/>
          <w:b/>
          <w:szCs w:val="22"/>
          <w:lang w:eastAsia="en-US"/>
        </w:rPr>
        <w:t>Asunto: Informe de análisis de la estabilidad presupuestaria, para el presupuesto del ejercicio 2024</w:t>
      </w:r>
    </w:p>
    <w:p w:rsidR="00D67FF0" w:rsidRDefault="00D67FF0" w:rsidP="00D67FF0">
      <w:pPr>
        <w:spacing w:line="259" w:lineRule="auto"/>
        <w:jc w:val="both"/>
        <w:rPr>
          <w:rFonts w:ascii="Verdana" w:eastAsia="Calibri" w:hAnsi="Verdana" w:cs="Calibri"/>
          <w:b/>
          <w:szCs w:val="22"/>
          <w:lang w:eastAsia="en-US"/>
        </w:rPr>
      </w:pPr>
    </w:p>
    <w:p w:rsidR="00F31253" w:rsidRPr="00D67FF0" w:rsidRDefault="00F31253" w:rsidP="00D67FF0">
      <w:pPr>
        <w:spacing w:line="259" w:lineRule="auto"/>
        <w:jc w:val="both"/>
        <w:rPr>
          <w:rFonts w:ascii="Verdana" w:eastAsia="Calibri" w:hAnsi="Verdana" w:cs="Calibri"/>
          <w:b/>
          <w:szCs w:val="22"/>
          <w:lang w:eastAsia="en-US"/>
        </w:rPr>
      </w:pPr>
      <w:bookmarkStart w:id="0" w:name="_GoBack"/>
      <w:bookmarkEnd w:id="0"/>
    </w:p>
    <w:p w:rsidR="00D67FF0" w:rsidRPr="00D67FF0" w:rsidRDefault="00D67FF0" w:rsidP="00D67FF0">
      <w:pPr>
        <w:spacing w:after="160" w:line="259" w:lineRule="auto"/>
        <w:jc w:val="center"/>
        <w:rPr>
          <w:rFonts w:ascii="Verdana" w:eastAsia="Calibri" w:hAnsi="Verdana" w:cs="Calibri"/>
          <w:b/>
          <w:sz w:val="22"/>
          <w:szCs w:val="22"/>
          <w:lang w:eastAsia="en-US"/>
        </w:rPr>
      </w:pPr>
      <w:r w:rsidRPr="00D67FF0">
        <w:rPr>
          <w:rFonts w:ascii="Verdana" w:eastAsia="Calibri" w:hAnsi="Verdana" w:cs="Calibri"/>
          <w:b/>
          <w:sz w:val="22"/>
          <w:szCs w:val="22"/>
          <w:lang w:eastAsia="en-US"/>
        </w:rPr>
        <w:t>INFORME</w:t>
      </w:r>
    </w:p>
    <w:p w:rsidR="00D67FF0" w:rsidRPr="00D67FF0" w:rsidRDefault="00D67FF0" w:rsidP="00D67FF0">
      <w:pPr>
        <w:spacing w:after="160" w:line="259" w:lineRule="auto"/>
        <w:rPr>
          <w:rFonts w:ascii="Verdana" w:eastAsia="Calibri" w:hAnsi="Verdana" w:cs="Calibri"/>
          <w:lang w:eastAsia="en-US"/>
        </w:rPr>
      </w:pPr>
    </w:p>
    <w:p w:rsidR="00D67FF0" w:rsidRPr="00D67FF0" w:rsidRDefault="00D67FF0" w:rsidP="00D67FF0">
      <w:pPr>
        <w:spacing w:after="160" w:line="259" w:lineRule="auto"/>
        <w:jc w:val="both"/>
        <w:rPr>
          <w:rFonts w:ascii="Verdana" w:eastAsia="Calibri" w:hAnsi="Verdana" w:cs="Calibri"/>
          <w:lang w:eastAsia="en-US"/>
        </w:rPr>
      </w:pPr>
      <w:r w:rsidRPr="00D67FF0">
        <w:rPr>
          <w:rFonts w:ascii="Verdana" w:eastAsia="Calibri" w:hAnsi="Verdana" w:cs="Calibri"/>
          <w:b/>
          <w:lang w:eastAsia="en-US"/>
        </w:rPr>
        <w:t>PRIMERO.</w:t>
      </w:r>
      <w:r w:rsidRPr="00D67FF0">
        <w:rPr>
          <w:rFonts w:ascii="Verdana" w:eastAsia="Calibri" w:hAnsi="Verdana" w:cs="Calibri"/>
          <w:lang w:eastAsia="en-US"/>
        </w:rPr>
        <w:t xml:space="preserve"> La elaboración, aprobación y ejecución de los Presupuestos y demás actuaciones que afecten a los gastos o ingresos de las Entidades Locales se someterá a los principios de estabilidad presupuestaria y sostenibilidad financiera, coherente con la normativa europea, y de conformidad con lo previsto en los artículos 3, 4, 11, 12 y 13 de la Ley Orgánica 2/2012, de 27 de abril, de Estabilidad Presupuestaria y Sostenibilidad Financiera. </w:t>
      </w:r>
    </w:p>
    <w:p w:rsidR="00D67FF0" w:rsidRPr="00D67FF0" w:rsidRDefault="00D67FF0" w:rsidP="00D67FF0">
      <w:pPr>
        <w:spacing w:after="160" w:line="259" w:lineRule="auto"/>
        <w:ind w:firstLine="708"/>
        <w:jc w:val="both"/>
        <w:rPr>
          <w:rFonts w:ascii="Verdana" w:eastAsia="Calibri" w:hAnsi="Verdana" w:cs="Calibri"/>
          <w:lang w:eastAsia="en-US"/>
        </w:rPr>
      </w:pPr>
      <w:r w:rsidRPr="00D67FF0">
        <w:rPr>
          <w:rFonts w:ascii="Verdana" w:eastAsia="Calibri" w:hAnsi="Verdana" w:cs="Calibri"/>
          <w:lang w:eastAsia="en-US"/>
        </w:rPr>
        <w:t xml:space="preserve">Se entenderá por estabilidad presupuestaria de las Administraciones Públicas </w:t>
      </w:r>
      <w:r w:rsidRPr="00D67FF0">
        <w:rPr>
          <w:rFonts w:ascii="Verdana" w:eastAsia="Calibri" w:hAnsi="Verdana" w:cs="Calibri"/>
          <w:i/>
          <w:lang w:eastAsia="en-US"/>
        </w:rPr>
        <w:t>“la situación de equilibrio o superávit estructural”</w:t>
      </w:r>
      <w:r w:rsidRPr="00D67FF0">
        <w:rPr>
          <w:rFonts w:ascii="Verdana" w:eastAsia="Calibri" w:hAnsi="Verdana" w:cs="Calibri"/>
          <w:lang w:eastAsia="en-US"/>
        </w:rPr>
        <w:t xml:space="preserve">. Conforme establece el artículo 11.3 y 11.4 de la Ley Orgánica 2/2012 de 27 de abril, de Estabilidad Presupuestaria y Sostenibilidad Financiera, las Corporaciones Locales no podrán incurrir en déficit estructural, definido como déficit ajustado del ciclo, neto de medidas excepcionales y temporales, por lo que deberán mantener una posición de equilibrio o superávit presupuestario. </w:t>
      </w:r>
    </w:p>
    <w:p w:rsidR="00D67FF0" w:rsidRPr="00D67FF0" w:rsidRDefault="00D67FF0" w:rsidP="00D67FF0">
      <w:pPr>
        <w:spacing w:after="160" w:line="259" w:lineRule="auto"/>
        <w:ind w:firstLine="708"/>
        <w:jc w:val="both"/>
        <w:rPr>
          <w:rFonts w:ascii="Verdana" w:eastAsia="Calibri" w:hAnsi="Verdana" w:cs="Calibri"/>
          <w:lang w:eastAsia="en-US"/>
        </w:rPr>
      </w:pPr>
      <w:r w:rsidRPr="00D67FF0">
        <w:rPr>
          <w:rFonts w:ascii="Verdana" w:eastAsia="Calibri" w:hAnsi="Verdana" w:cs="Calibri"/>
          <w:lang w:eastAsia="en-US"/>
        </w:rPr>
        <w:t xml:space="preserve">Según establece el artículo 12 de la Ley Orgánica 2/2012 de 27 de abril, la variación del gasto computable no podrá superar la tasa de referencia de crecimiento del Producto Interior Bruto de medio plazo de la economía española. Se entenderá por gasto computable los empleos no financieros en términos del Sistema Europeo de Cuentas Nacionales y Regionales, excluidos los intereses de la deuda, la parte del gasto financiado con fondos finalistas de la Unión Europea o de otras Administraciones y las transferencias vinculadas a los sistemas de financiación. La tasa de referencia para el cálculo de la regla de gasto será publicada por el Ministerio de Economía y Competitividad, conforme el artículo 12.3 de la Ley Orgánica 2/2012, de 27 de abril. </w:t>
      </w:r>
    </w:p>
    <w:p w:rsidR="00D67FF0" w:rsidRPr="00D67FF0" w:rsidRDefault="00D67FF0" w:rsidP="00D67FF0">
      <w:pPr>
        <w:spacing w:after="160" w:line="259" w:lineRule="auto"/>
        <w:ind w:firstLine="708"/>
        <w:jc w:val="both"/>
        <w:rPr>
          <w:rFonts w:ascii="Verdana" w:eastAsia="Calibri" w:hAnsi="Verdana" w:cs="Calibri"/>
          <w:lang w:eastAsia="en-US"/>
        </w:rPr>
      </w:pPr>
      <w:r w:rsidRPr="00D67FF0">
        <w:rPr>
          <w:rFonts w:ascii="Verdana" w:eastAsia="Calibri" w:hAnsi="Verdana" w:cs="Calibri"/>
          <w:lang w:eastAsia="en-US"/>
        </w:rPr>
        <w:t xml:space="preserve">Se deberá cumplir el principio de sostenibilidad financiera, </w:t>
      </w:r>
      <w:r w:rsidRPr="00D67FF0">
        <w:rPr>
          <w:rFonts w:ascii="Verdana" w:eastAsia="Calibri" w:hAnsi="Verdana" w:cs="Calibri"/>
          <w:b/>
          <w:i/>
          <w:lang w:eastAsia="en-US"/>
        </w:rPr>
        <w:t>entendido como la capacidad para financiar compromisos de gastos presentes y futuros dentro de los límites de déficit y deuda pública</w:t>
      </w:r>
      <w:r w:rsidRPr="00D67FF0">
        <w:rPr>
          <w:rFonts w:ascii="Verdana" w:eastAsia="Calibri" w:hAnsi="Verdana" w:cs="Calibri"/>
          <w:lang w:eastAsia="en-US"/>
        </w:rPr>
        <w:t xml:space="preserve">. </w:t>
      </w:r>
    </w:p>
    <w:p w:rsidR="00D67FF0" w:rsidRPr="00D67FF0" w:rsidRDefault="00D67FF0" w:rsidP="00D67FF0">
      <w:pPr>
        <w:spacing w:after="160" w:line="259" w:lineRule="auto"/>
        <w:rPr>
          <w:rFonts w:ascii="Verdana" w:eastAsia="Calibri" w:hAnsi="Verdana" w:cs="Calibri"/>
          <w:lang w:eastAsia="en-US"/>
        </w:rPr>
      </w:pPr>
      <w:r w:rsidRPr="00D67FF0">
        <w:rPr>
          <w:rFonts w:ascii="Verdana" w:eastAsia="Calibri" w:hAnsi="Verdana" w:cs="Calibri"/>
          <w:b/>
          <w:lang w:eastAsia="en-US"/>
        </w:rPr>
        <w:t>SEGUNDO.</w:t>
      </w:r>
      <w:r w:rsidRPr="00D67FF0">
        <w:rPr>
          <w:rFonts w:ascii="Verdana" w:eastAsia="Calibri" w:hAnsi="Verdana" w:cs="Calibri"/>
          <w:lang w:eastAsia="en-US"/>
        </w:rPr>
        <w:t xml:space="preserve"> La Legislación aplicable viene determinada por: </w:t>
      </w:r>
    </w:p>
    <w:p w:rsidR="00D67FF0" w:rsidRPr="00D67FF0" w:rsidRDefault="00D67FF0" w:rsidP="00D67FF0">
      <w:pPr>
        <w:numPr>
          <w:ilvl w:val="0"/>
          <w:numId w:val="6"/>
        </w:numPr>
        <w:spacing w:after="160" w:line="259" w:lineRule="auto"/>
        <w:contextualSpacing/>
        <w:jc w:val="both"/>
        <w:rPr>
          <w:rFonts w:ascii="Verdana" w:eastAsia="Calibri" w:hAnsi="Verdana" w:cs="Calibri"/>
          <w:lang w:eastAsia="en-US"/>
        </w:rPr>
      </w:pPr>
      <w:r w:rsidRPr="00D67FF0">
        <w:rPr>
          <w:rFonts w:ascii="Verdana" w:eastAsia="Calibri" w:hAnsi="Verdana" w:cs="Calibri"/>
          <w:lang w:eastAsia="en-US"/>
        </w:rPr>
        <w:t xml:space="preserve">Los artículos 3, 4, 11, 12 y 13 de la Ley Orgánica 2/2012, de 27 de abril, de Estabilidad Presupuestaria y Sostenibilidad Financiera. </w:t>
      </w:r>
    </w:p>
    <w:p w:rsidR="00D67FF0" w:rsidRDefault="00D67FF0" w:rsidP="00D67FF0">
      <w:pPr>
        <w:numPr>
          <w:ilvl w:val="0"/>
          <w:numId w:val="6"/>
        </w:numPr>
        <w:spacing w:after="160" w:line="259" w:lineRule="auto"/>
        <w:contextualSpacing/>
        <w:jc w:val="both"/>
        <w:rPr>
          <w:rFonts w:ascii="Verdana" w:eastAsia="Calibri" w:hAnsi="Verdana" w:cs="Calibri"/>
          <w:lang w:eastAsia="en-US"/>
        </w:rPr>
      </w:pPr>
      <w:r w:rsidRPr="00D67FF0">
        <w:rPr>
          <w:rFonts w:ascii="Verdana" w:eastAsia="Calibri" w:hAnsi="Verdana" w:cs="Calibri"/>
          <w:lang w:eastAsia="en-US"/>
        </w:rPr>
        <w:t xml:space="preserve">Los artículos 16.2 del Real Decreto 1463/2007, de 2 de noviembre, por el que se aprueba el Reglamento de Desarrollo de la Ley 18/2001, de 12 de noviembre, de Estabilidad Presupuestaria, en su Aplicación a las Entidades Locales. </w:t>
      </w:r>
    </w:p>
    <w:p w:rsidR="00D67FF0" w:rsidRPr="00D67FF0" w:rsidRDefault="00D67FF0" w:rsidP="00D67FF0">
      <w:pPr>
        <w:spacing w:after="160" w:line="259" w:lineRule="auto"/>
        <w:ind w:left="720"/>
        <w:contextualSpacing/>
        <w:jc w:val="both"/>
        <w:rPr>
          <w:rFonts w:ascii="Verdana" w:eastAsia="Calibri" w:hAnsi="Verdana" w:cs="Calibri"/>
          <w:lang w:eastAsia="en-US"/>
        </w:rPr>
      </w:pPr>
    </w:p>
    <w:p w:rsidR="00D67FF0" w:rsidRPr="00D67FF0" w:rsidRDefault="00D67FF0" w:rsidP="00D67FF0">
      <w:pPr>
        <w:spacing w:after="160" w:line="259" w:lineRule="auto"/>
        <w:rPr>
          <w:rFonts w:ascii="Verdana" w:eastAsia="Calibri" w:hAnsi="Verdana" w:cs="Calibri"/>
          <w:lang w:eastAsia="en-US"/>
        </w:rPr>
      </w:pPr>
    </w:p>
    <w:p w:rsidR="00D67FF0" w:rsidRPr="00D67FF0" w:rsidRDefault="00D67FF0" w:rsidP="00D67FF0">
      <w:pPr>
        <w:spacing w:after="160" w:line="259" w:lineRule="auto"/>
        <w:jc w:val="both"/>
        <w:rPr>
          <w:rFonts w:ascii="Verdana" w:eastAsia="Calibri" w:hAnsi="Verdana" w:cs="Calibri"/>
          <w:lang w:eastAsia="en-US"/>
        </w:rPr>
      </w:pPr>
      <w:r w:rsidRPr="00D67FF0">
        <w:rPr>
          <w:rFonts w:ascii="Verdana" w:eastAsia="Calibri" w:hAnsi="Verdana" w:cs="Calibri"/>
          <w:b/>
          <w:lang w:eastAsia="en-US"/>
        </w:rPr>
        <w:lastRenderedPageBreak/>
        <w:t>TERCERO.</w:t>
      </w:r>
      <w:r w:rsidRPr="00D67FF0">
        <w:rPr>
          <w:rFonts w:ascii="Verdana" w:eastAsia="Calibri" w:hAnsi="Verdana" w:cs="Calibri"/>
          <w:lang w:eastAsia="en-US"/>
        </w:rPr>
        <w:t xml:space="preserve"> Tal y como dispone el artículo 16 apartado 1 </w:t>
      </w:r>
      <w:r w:rsidRPr="00D67FF0">
        <w:rPr>
          <w:rFonts w:ascii="Verdana" w:eastAsia="Calibri" w:hAnsi="Verdana" w:cs="Calibri"/>
          <w:i/>
          <w:lang w:eastAsia="en-US"/>
        </w:rPr>
        <w:t>in fine</w:t>
      </w:r>
      <w:r w:rsidRPr="00D67FF0">
        <w:rPr>
          <w:rFonts w:ascii="Verdana" w:eastAsia="Calibri" w:hAnsi="Verdana" w:cs="Calibri"/>
          <w:lang w:eastAsia="en-US"/>
        </w:rPr>
        <w:t xml:space="preserve"> y apartado 2 del Real Decreto 1463/2007, de 2 de noviembre, por el que se aprueba el Reglamento de Desarrollo de la Ley 18/2001, de 12 de diciembre, de Estabilidad Presupuestaria, en su Aplicación a las Entidades Locales, la Intervención Local elevará al Pleno un informe sobre el cumplimiento del objetivo de estabilidad de la propia Entidad Local y de sus organismos y entidades dependientes. </w:t>
      </w:r>
    </w:p>
    <w:p w:rsidR="00D67FF0" w:rsidRPr="00D67FF0" w:rsidRDefault="00D67FF0" w:rsidP="00D67FF0">
      <w:pPr>
        <w:spacing w:after="160" w:line="259" w:lineRule="auto"/>
        <w:ind w:firstLine="708"/>
        <w:jc w:val="both"/>
        <w:rPr>
          <w:rFonts w:ascii="Verdana" w:eastAsia="Calibri" w:hAnsi="Verdana" w:cs="Calibri"/>
          <w:lang w:eastAsia="en-US"/>
        </w:rPr>
      </w:pPr>
      <w:r w:rsidRPr="00D67FF0">
        <w:rPr>
          <w:rFonts w:ascii="Verdana" w:eastAsia="Calibri" w:hAnsi="Verdana" w:cs="Calibri"/>
          <w:lang w:eastAsia="en-US"/>
        </w:rPr>
        <w:t xml:space="preserve">Este informe se emitirá con carácter independiente y se incorporará a los previstos en los artículos 168.4 del Real Decreto Legislativo 2/2004, de 5 de marzo, por el que se aprueba el texto refundido de la Ley Reguladora de las Haciendas Locales, referidos respectivamente, a la aprobación del presupuesto general, a sus modificaciones y a su liquidación. </w:t>
      </w:r>
    </w:p>
    <w:p w:rsidR="00D67FF0" w:rsidRPr="00D67FF0" w:rsidRDefault="00D67FF0" w:rsidP="00D67FF0">
      <w:pPr>
        <w:spacing w:after="160" w:line="259" w:lineRule="auto"/>
        <w:jc w:val="both"/>
        <w:rPr>
          <w:rFonts w:ascii="Verdana" w:eastAsia="Calibri" w:hAnsi="Verdana" w:cs="Calibri"/>
          <w:lang w:eastAsia="en-US"/>
        </w:rPr>
      </w:pPr>
      <w:r w:rsidRPr="00D67FF0">
        <w:rPr>
          <w:rFonts w:ascii="Verdana" w:eastAsia="Calibri" w:hAnsi="Verdana" w:cs="Calibri"/>
          <w:b/>
          <w:lang w:eastAsia="en-US"/>
        </w:rPr>
        <w:t>CUARTO.</w:t>
      </w:r>
      <w:r w:rsidRPr="00D67FF0">
        <w:rPr>
          <w:rFonts w:ascii="Verdana" w:eastAsia="Calibri" w:hAnsi="Verdana" w:cs="Calibri"/>
          <w:lang w:eastAsia="en-US"/>
        </w:rPr>
        <w:t xml:space="preserve"> El equilibrio presupuestario se desprende de la comparación de los capítulos 1 a 7 del presupuesto de gastos y los capítulos 1 a 7 de ingresos. El objetivo de estabilidad presupuestaria se identificará con una situación de equilibrio o superávit. </w:t>
      </w:r>
    </w:p>
    <w:p w:rsidR="00D67FF0" w:rsidRPr="00D67FF0" w:rsidRDefault="00D67FF0" w:rsidP="00D67FF0">
      <w:pPr>
        <w:spacing w:after="160" w:line="259" w:lineRule="auto"/>
        <w:ind w:firstLine="708"/>
        <w:jc w:val="both"/>
        <w:rPr>
          <w:rFonts w:ascii="Verdana" w:eastAsia="Calibri" w:hAnsi="Verdana" w:cs="Calibri"/>
          <w:lang w:eastAsia="en-US"/>
        </w:rPr>
      </w:pPr>
      <w:r w:rsidRPr="00D67FF0">
        <w:rPr>
          <w:rFonts w:ascii="Verdana" w:eastAsia="Calibri" w:hAnsi="Verdana" w:cs="Calibri"/>
          <w:lang w:eastAsia="en-US"/>
        </w:rPr>
        <w:t xml:space="preserve">El incumplimiento del principio de estabilidad conllevará la elaboración de un Plan Económico-Financiero de conformidad con lo dispuesto en los artículos 21 y 23 de la Ley Orgánica 2/2012, de 27 de abril, de Estabilidad Presupuestaria y Sostenibilidad Financiera. </w:t>
      </w:r>
    </w:p>
    <w:p w:rsidR="00D67FF0" w:rsidRPr="00D67FF0" w:rsidRDefault="00D67FF0" w:rsidP="00D67FF0">
      <w:pPr>
        <w:spacing w:after="160" w:line="259" w:lineRule="auto"/>
        <w:ind w:firstLine="708"/>
        <w:jc w:val="both"/>
        <w:rPr>
          <w:rFonts w:ascii="Verdana" w:eastAsia="Calibri" w:hAnsi="Verdana" w:cs="Calibri"/>
          <w:lang w:eastAsia="en-US"/>
        </w:rPr>
      </w:pPr>
    </w:p>
    <w:p w:rsidR="00D67FF0" w:rsidRPr="00D67FF0" w:rsidRDefault="00D67FF0" w:rsidP="00D67FF0">
      <w:pPr>
        <w:tabs>
          <w:tab w:val="left" w:pos="2268"/>
          <w:tab w:val="decimal" w:pos="10065"/>
        </w:tabs>
        <w:spacing w:after="160" w:line="259" w:lineRule="auto"/>
        <w:ind w:left="1134" w:right="1103"/>
        <w:rPr>
          <w:rFonts w:ascii="Verdana" w:eastAsia="Calibri" w:hAnsi="Verdana" w:cs="Calibri"/>
          <w:b/>
          <w:lang w:eastAsia="en-US"/>
        </w:rPr>
      </w:pPr>
      <w:r w:rsidRPr="00D67FF0">
        <w:rPr>
          <w:rFonts w:ascii="Verdana" w:eastAsia="Calibri" w:hAnsi="Verdana" w:cs="Calibri"/>
          <w:b/>
          <w:lang w:eastAsia="en-US"/>
        </w:rPr>
        <w:t xml:space="preserve">INGRESOS: </w:t>
      </w:r>
    </w:p>
    <w:p w:rsidR="00D67FF0" w:rsidRPr="00D67FF0" w:rsidRDefault="00D67FF0" w:rsidP="00D67FF0">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1: Impuestos directos</w:t>
      </w:r>
      <w:r w:rsidRPr="00D67FF0">
        <w:rPr>
          <w:rFonts w:ascii="Verdana" w:eastAsia="Calibri" w:hAnsi="Verdana" w:cs="Calibri"/>
          <w:lang w:eastAsia="en-US"/>
        </w:rPr>
        <w:tab/>
      </w:r>
      <w:r w:rsidR="00E85424">
        <w:rPr>
          <w:rFonts w:ascii="Verdana" w:eastAsia="Calibri" w:hAnsi="Verdana" w:cs="Calibri"/>
          <w:lang w:eastAsia="en-US"/>
        </w:rPr>
        <w:t>4.317.500,00</w:t>
      </w:r>
      <w:r w:rsidRPr="00D67FF0">
        <w:rPr>
          <w:rFonts w:ascii="Verdana" w:eastAsia="Calibri" w:hAnsi="Verdana" w:cs="Calibri"/>
          <w:lang w:eastAsia="en-US"/>
        </w:rPr>
        <w:t>€</w:t>
      </w:r>
    </w:p>
    <w:p w:rsidR="00D67FF0" w:rsidRPr="00D67FF0" w:rsidRDefault="00D67FF0" w:rsidP="00D67FF0">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2: Impuestos indirectos</w:t>
      </w:r>
      <w:r w:rsidRPr="00D67FF0">
        <w:rPr>
          <w:rFonts w:ascii="Verdana" w:eastAsia="Calibri" w:hAnsi="Verdana" w:cs="Calibri"/>
          <w:lang w:eastAsia="en-US"/>
        </w:rPr>
        <w:tab/>
      </w:r>
      <w:r w:rsidR="00E85424">
        <w:rPr>
          <w:rFonts w:ascii="Verdana" w:eastAsia="Calibri" w:hAnsi="Verdana" w:cs="Calibri"/>
          <w:lang w:eastAsia="en-US"/>
        </w:rPr>
        <w:t>220.000,00</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3: Tasas y precios públicos</w:t>
      </w:r>
      <w:r w:rsidRPr="00D67FF0">
        <w:rPr>
          <w:rFonts w:ascii="Verdana" w:eastAsia="Calibri" w:hAnsi="Verdana" w:cs="Calibri"/>
          <w:lang w:eastAsia="en-US"/>
        </w:rPr>
        <w:tab/>
      </w:r>
      <w:r w:rsidR="00E85424">
        <w:rPr>
          <w:rFonts w:ascii="Verdana" w:eastAsia="Calibri" w:hAnsi="Verdana" w:cs="Calibri"/>
          <w:lang w:eastAsia="en-US"/>
        </w:rPr>
        <w:t>3.189.600,00</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4: Transferencias corrientes</w:t>
      </w:r>
      <w:r w:rsidRPr="00D67FF0">
        <w:rPr>
          <w:rFonts w:ascii="Verdana" w:eastAsia="Calibri" w:hAnsi="Verdana" w:cs="Calibri"/>
          <w:lang w:eastAsia="en-US"/>
        </w:rPr>
        <w:tab/>
      </w:r>
      <w:r w:rsidR="00E85424">
        <w:rPr>
          <w:rFonts w:ascii="Verdana" w:eastAsia="Calibri" w:hAnsi="Verdana" w:cs="Calibri"/>
          <w:lang w:eastAsia="en-US"/>
        </w:rPr>
        <w:t>4.416.113,19</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5: Ingresos patrimoniales</w:t>
      </w:r>
      <w:r w:rsidRPr="00D67FF0">
        <w:rPr>
          <w:rFonts w:ascii="Verdana" w:eastAsia="Calibri" w:hAnsi="Verdana" w:cs="Calibri"/>
          <w:lang w:eastAsia="en-US"/>
        </w:rPr>
        <w:tab/>
      </w:r>
      <w:r w:rsidR="00E85424">
        <w:rPr>
          <w:rFonts w:ascii="Verdana" w:eastAsia="Calibri" w:hAnsi="Verdana" w:cs="Calibri"/>
          <w:lang w:eastAsia="en-US"/>
        </w:rPr>
        <w:t>39.400,00</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6: Enajenación de inversiones reales</w:t>
      </w:r>
      <w:r w:rsidRPr="00D67FF0">
        <w:rPr>
          <w:rFonts w:ascii="Verdana" w:eastAsia="Calibri" w:hAnsi="Verdana" w:cs="Calibri"/>
          <w:lang w:eastAsia="en-US"/>
        </w:rPr>
        <w:tab/>
        <w:t>0,00 €</w:t>
      </w:r>
    </w:p>
    <w:p w:rsidR="00E85424" w:rsidRDefault="00D67FF0" w:rsidP="00E85424">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7: Transferencias de capital</w:t>
      </w:r>
      <w:r w:rsidRPr="00D67FF0">
        <w:rPr>
          <w:rFonts w:ascii="Verdana" w:eastAsia="Calibri" w:hAnsi="Verdana" w:cs="Calibri"/>
          <w:lang w:eastAsia="en-US"/>
        </w:rPr>
        <w:tab/>
        <w:t>110.946,30 €</w:t>
      </w:r>
    </w:p>
    <w:p w:rsidR="00E85424" w:rsidRDefault="00E85424" w:rsidP="00E85424">
      <w:pPr>
        <w:tabs>
          <w:tab w:val="left" w:pos="567"/>
          <w:tab w:val="decimal" w:pos="7655"/>
        </w:tabs>
        <w:ind w:firstLine="567"/>
        <w:rPr>
          <w:rFonts w:ascii="Verdana" w:eastAsia="Calibri" w:hAnsi="Verdana" w:cs="Calibri"/>
          <w:lang w:eastAsia="en-US"/>
        </w:rPr>
      </w:pPr>
      <w:proofErr w:type="spellStart"/>
      <w:r>
        <w:rPr>
          <w:rFonts w:ascii="Verdana" w:eastAsia="Calibri" w:hAnsi="Verdana" w:cs="Calibri"/>
          <w:lang w:eastAsia="en-US"/>
        </w:rPr>
        <w:t>Capitulo</w:t>
      </w:r>
      <w:proofErr w:type="spellEnd"/>
      <w:r>
        <w:rPr>
          <w:rFonts w:ascii="Verdana" w:eastAsia="Calibri" w:hAnsi="Verdana" w:cs="Calibri"/>
          <w:lang w:eastAsia="en-US"/>
        </w:rPr>
        <w:t xml:space="preserve"> 8: Activos Financieros.                                                5.000,00€</w:t>
      </w:r>
    </w:p>
    <w:p w:rsidR="00E85424" w:rsidRPr="00E85424" w:rsidRDefault="00E85424" w:rsidP="00E85424">
      <w:pPr>
        <w:tabs>
          <w:tab w:val="left" w:pos="567"/>
          <w:tab w:val="decimal" w:pos="7655"/>
        </w:tabs>
        <w:ind w:firstLine="567"/>
        <w:rPr>
          <w:rFonts w:ascii="Verdana" w:eastAsia="Calibri" w:hAnsi="Verdana" w:cs="Calibri"/>
          <w:lang w:eastAsia="en-US"/>
        </w:rPr>
      </w:pPr>
      <w:r>
        <w:rPr>
          <w:rFonts w:ascii="Verdana" w:eastAsia="Calibri" w:hAnsi="Verdana" w:cs="Calibri"/>
          <w:lang w:eastAsia="en-US"/>
        </w:rPr>
        <w:t>Capítulo 9: Pasivo Financieros.                                                        0,00€</w:t>
      </w:r>
    </w:p>
    <w:p w:rsidR="00D67FF0" w:rsidRPr="00D67FF0" w:rsidRDefault="00D67FF0" w:rsidP="00D67FF0">
      <w:pPr>
        <w:tabs>
          <w:tab w:val="decimal" w:pos="7655"/>
        </w:tabs>
        <w:spacing w:after="160" w:line="259" w:lineRule="auto"/>
        <w:ind w:left="1134" w:right="-1"/>
        <w:rPr>
          <w:rFonts w:ascii="Verdana" w:eastAsia="Calibri" w:hAnsi="Verdana" w:cs="Calibri"/>
          <w:b/>
          <w:lang w:eastAsia="en-US"/>
        </w:rPr>
      </w:pPr>
      <w:r w:rsidRPr="00D67FF0">
        <w:rPr>
          <w:rFonts w:ascii="Verdana" w:eastAsia="Calibri" w:hAnsi="Verdana" w:cs="Calibri"/>
          <w:b/>
          <w:lang w:eastAsia="en-US"/>
        </w:rPr>
        <w:t>TOTAL</w:t>
      </w:r>
      <w:r w:rsidRPr="00D67FF0">
        <w:rPr>
          <w:rFonts w:ascii="Verdana" w:eastAsia="Calibri" w:hAnsi="Verdana" w:cs="Calibri"/>
          <w:b/>
          <w:lang w:eastAsia="en-US"/>
        </w:rPr>
        <w:tab/>
      </w:r>
      <w:r w:rsidR="00E85424">
        <w:rPr>
          <w:rFonts w:ascii="Verdana" w:eastAsia="Calibri" w:hAnsi="Verdana" w:cs="Calibri"/>
          <w:b/>
          <w:lang w:eastAsia="en-US"/>
        </w:rPr>
        <w:t>12.187.613,19</w:t>
      </w:r>
      <w:r w:rsidRPr="00D67FF0">
        <w:rPr>
          <w:rFonts w:ascii="Verdana" w:eastAsia="Calibri" w:hAnsi="Verdana" w:cs="Calibri"/>
          <w:b/>
          <w:lang w:eastAsia="en-US"/>
        </w:rPr>
        <w:t xml:space="preserve"> €</w:t>
      </w:r>
    </w:p>
    <w:p w:rsidR="00D67FF0" w:rsidRPr="00D67FF0" w:rsidRDefault="00D67FF0" w:rsidP="00D67FF0">
      <w:pPr>
        <w:tabs>
          <w:tab w:val="left" w:pos="2268"/>
          <w:tab w:val="decimal" w:pos="10065"/>
        </w:tabs>
        <w:spacing w:after="160" w:line="259" w:lineRule="auto"/>
        <w:ind w:left="1134" w:right="1103"/>
        <w:rPr>
          <w:rFonts w:ascii="Verdana" w:eastAsia="Calibri" w:hAnsi="Verdana" w:cs="Calibri"/>
          <w:b/>
          <w:lang w:eastAsia="en-US"/>
        </w:rPr>
      </w:pPr>
      <w:r w:rsidRPr="00D67FF0">
        <w:rPr>
          <w:rFonts w:ascii="Verdana" w:eastAsia="Calibri" w:hAnsi="Verdana" w:cs="Calibri"/>
          <w:b/>
          <w:lang w:eastAsia="en-US"/>
        </w:rPr>
        <w:t xml:space="preserve">GASTOS: </w:t>
      </w:r>
    </w:p>
    <w:p w:rsidR="00D67FF0" w:rsidRPr="00D67FF0" w:rsidRDefault="00D67FF0" w:rsidP="00D67FF0">
      <w:pPr>
        <w:tabs>
          <w:tab w:val="left" w:pos="567"/>
          <w:tab w:val="decimal" w:pos="7655"/>
        </w:tabs>
        <w:ind w:firstLine="567"/>
        <w:rPr>
          <w:rFonts w:ascii="Verdana" w:eastAsia="Calibri" w:hAnsi="Verdana" w:cs="Calibri"/>
          <w:lang w:eastAsia="en-US"/>
        </w:rPr>
      </w:pPr>
      <w:r w:rsidRPr="00D67FF0">
        <w:rPr>
          <w:rFonts w:ascii="Verdana" w:eastAsia="Calibri" w:hAnsi="Verdana" w:cs="Calibri"/>
          <w:lang w:eastAsia="en-US"/>
        </w:rPr>
        <w:t>Capítulo 1: Gastos de personal</w:t>
      </w:r>
      <w:r w:rsidRPr="00D67FF0">
        <w:rPr>
          <w:rFonts w:ascii="Verdana" w:eastAsia="Calibri" w:hAnsi="Verdana" w:cs="Calibri"/>
          <w:lang w:eastAsia="en-US"/>
        </w:rPr>
        <w:tab/>
      </w:r>
      <w:r w:rsidR="00E85424">
        <w:rPr>
          <w:rFonts w:ascii="Verdana" w:eastAsia="Calibri" w:hAnsi="Verdana" w:cs="Calibri"/>
          <w:lang w:eastAsia="en-US"/>
        </w:rPr>
        <w:t>6.306.637,09</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rPr>
          <w:rFonts w:ascii="Verdana" w:eastAsia="Calibri" w:hAnsi="Verdana" w:cs="Calibri"/>
          <w:lang w:eastAsia="en-US"/>
        </w:rPr>
      </w:pPr>
      <w:r w:rsidRPr="00D67FF0">
        <w:rPr>
          <w:rFonts w:ascii="Verdana" w:eastAsia="Calibri" w:hAnsi="Verdana" w:cs="Calibri"/>
          <w:lang w:eastAsia="en-US"/>
        </w:rPr>
        <w:tab/>
        <w:t>Capítulo 2: Gastos en bienes corrientes y servicios</w:t>
      </w:r>
      <w:r w:rsidRPr="00D67FF0">
        <w:rPr>
          <w:rFonts w:ascii="Verdana" w:eastAsia="Calibri" w:hAnsi="Verdana" w:cs="Calibri"/>
          <w:lang w:eastAsia="en-US"/>
        </w:rPr>
        <w:tab/>
      </w:r>
      <w:r w:rsidR="00E85424">
        <w:rPr>
          <w:rFonts w:ascii="Verdana" w:eastAsia="Calibri" w:hAnsi="Verdana" w:cs="Calibri"/>
          <w:lang w:eastAsia="en-US"/>
        </w:rPr>
        <w:t>5.159.483,89</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rPr>
          <w:rFonts w:ascii="Verdana" w:eastAsia="Calibri" w:hAnsi="Verdana" w:cs="Calibri"/>
          <w:lang w:eastAsia="en-US"/>
        </w:rPr>
      </w:pPr>
      <w:r w:rsidRPr="00D67FF0">
        <w:rPr>
          <w:rFonts w:ascii="Verdana" w:eastAsia="Calibri" w:hAnsi="Verdana" w:cs="Calibri"/>
          <w:lang w:eastAsia="en-US"/>
        </w:rPr>
        <w:tab/>
        <w:t>Capítulo 3: Gastos financieros</w:t>
      </w:r>
      <w:r w:rsidRPr="00D67FF0">
        <w:rPr>
          <w:rFonts w:ascii="Verdana" w:eastAsia="Calibri" w:hAnsi="Verdana" w:cs="Calibri"/>
          <w:lang w:eastAsia="en-US"/>
        </w:rPr>
        <w:tab/>
      </w:r>
      <w:r w:rsidR="00E85424">
        <w:rPr>
          <w:rFonts w:ascii="Verdana" w:eastAsia="Calibri" w:hAnsi="Verdana" w:cs="Calibri"/>
          <w:lang w:eastAsia="en-US"/>
        </w:rPr>
        <w:t>129.178,00</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rPr>
          <w:rFonts w:ascii="Verdana" w:eastAsia="Calibri" w:hAnsi="Verdana" w:cs="Calibri"/>
          <w:lang w:eastAsia="en-US"/>
        </w:rPr>
      </w:pPr>
      <w:r w:rsidRPr="00D67FF0">
        <w:rPr>
          <w:rFonts w:ascii="Verdana" w:eastAsia="Calibri" w:hAnsi="Verdana" w:cs="Calibri"/>
          <w:lang w:eastAsia="en-US"/>
        </w:rPr>
        <w:tab/>
        <w:t>Capítulo 4: Transferencias corrientes</w:t>
      </w:r>
      <w:r w:rsidRPr="00D67FF0">
        <w:rPr>
          <w:rFonts w:ascii="Verdana" w:eastAsia="Calibri" w:hAnsi="Verdana" w:cs="Calibri"/>
          <w:lang w:eastAsia="en-US"/>
        </w:rPr>
        <w:tab/>
      </w:r>
      <w:r w:rsidR="00E85424">
        <w:rPr>
          <w:rFonts w:ascii="Verdana" w:eastAsia="Calibri" w:hAnsi="Verdana" w:cs="Calibri"/>
          <w:lang w:eastAsia="en-US"/>
        </w:rPr>
        <w:t>302.350,00</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rPr>
          <w:rFonts w:ascii="Verdana" w:eastAsia="Calibri" w:hAnsi="Verdana" w:cs="Calibri"/>
          <w:lang w:eastAsia="en-US"/>
        </w:rPr>
      </w:pPr>
      <w:r w:rsidRPr="00D67FF0">
        <w:rPr>
          <w:rFonts w:ascii="Verdana" w:eastAsia="Calibri" w:hAnsi="Verdana" w:cs="Calibri"/>
          <w:lang w:eastAsia="en-US"/>
        </w:rPr>
        <w:tab/>
        <w:t xml:space="preserve">Capítulo 5: Fondo de </w:t>
      </w:r>
      <w:r w:rsidR="00E85424">
        <w:rPr>
          <w:rFonts w:ascii="Verdana" w:eastAsia="Calibri" w:hAnsi="Verdana" w:cs="Calibri"/>
          <w:lang w:eastAsia="en-US"/>
        </w:rPr>
        <w:t>contingencia</w:t>
      </w:r>
      <w:r w:rsidRPr="00D67FF0">
        <w:rPr>
          <w:rFonts w:ascii="Verdana" w:eastAsia="Calibri" w:hAnsi="Verdana" w:cs="Calibri"/>
          <w:lang w:eastAsia="en-US"/>
        </w:rPr>
        <w:tab/>
      </w:r>
      <w:r w:rsidR="00E85424">
        <w:rPr>
          <w:rFonts w:ascii="Verdana" w:eastAsia="Calibri" w:hAnsi="Verdana" w:cs="Calibri"/>
          <w:lang w:eastAsia="en-US"/>
        </w:rPr>
        <w:t>30.000,00</w:t>
      </w:r>
      <w:r w:rsidRPr="00D67FF0">
        <w:rPr>
          <w:rFonts w:ascii="Verdana" w:eastAsia="Calibri" w:hAnsi="Verdana" w:cs="Calibri"/>
          <w:lang w:eastAsia="en-US"/>
        </w:rPr>
        <w:t xml:space="preserve"> €</w:t>
      </w:r>
    </w:p>
    <w:p w:rsidR="00D67FF0" w:rsidRPr="00D67FF0" w:rsidRDefault="00D67FF0" w:rsidP="00D67FF0">
      <w:pPr>
        <w:tabs>
          <w:tab w:val="left" w:pos="567"/>
          <w:tab w:val="decimal" w:pos="7655"/>
        </w:tabs>
        <w:rPr>
          <w:rFonts w:ascii="Verdana" w:eastAsia="Calibri" w:hAnsi="Verdana" w:cs="Calibri"/>
          <w:lang w:eastAsia="en-US"/>
        </w:rPr>
      </w:pPr>
      <w:r w:rsidRPr="00D67FF0">
        <w:rPr>
          <w:rFonts w:ascii="Verdana" w:eastAsia="Calibri" w:hAnsi="Verdana" w:cs="Calibri"/>
          <w:lang w:eastAsia="en-US"/>
        </w:rPr>
        <w:tab/>
        <w:t>Capítulo 6: Inversiones reales</w:t>
      </w:r>
      <w:r w:rsidRPr="00D67FF0">
        <w:rPr>
          <w:rFonts w:ascii="Verdana" w:eastAsia="Calibri" w:hAnsi="Verdana" w:cs="Calibri"/>
          <w:lang w:eastAsia="en-US"/>
        </w:rPr>
        <w:tab/>
      </w:r>
      <w:r w:rsidR="00E85424">
        <w:rPr>
          <w:rFonts w:ascii="Verdana" w:eastAsia="Calibri" w:hAnsi="Verdana" w:cs="Calibri"/>
          <w:lang w:eastAsia="en-US"/>
        </w:rPr>
        <w:t>105.727,15</w:t>
      </w:r>
      <w:r w:rsidRPr="00D67FF0">
        <w:rPr>
          <w:rFonts w:ascii="Verdana" w:eastAsia="Calibri" w:hAnsi="Verdana" w:cs="Calibri"/>
          <w:lang w:eastAsia="en-US"/>
        </w:rPr>
        <w:t xml:space="preserve"> €</w:t>
      </w:r>
    </w:p>
    <w:p w:rsidR="00E85424" w:rsidRDefault="00D67FF0" w:rsidP="00E85424">
      <w:pPr>
        <w:tabs>
          <w:tab w:val="left" w:pos="567"/>
          <w:tab w:val="decimal" w:pos="7655"/>
        </w:tabs>
        <w:rPr>
          <w:rFonts w:ascii="Verdana" w:eastAsia="Calibri" w:hAnsi="Verdana" w:cs="Calibri"/>
          <w:lang w:eastAsia="en-US"/>
        </w:rPr>
      </w:pPr>
      <w:r w:rsidRPr="00D67FF0">
        <w:rPr>
          <w:rFonts w:ascii="Verdana" w:eastAsia="Calibri" w:hAnsi="Verdana" w:cs="Calibri"/>
          <w:lang w:eastAsia="en-US"/>
        </w:rPr>
        <w:tab/>
        <w:t>Capítulo 7: Transferencias de capital</w:t>
      </w:r>
      <w:r w:rsidRPr="00D67FF0">
        <w:rPr>
          <w:rFonts w:ascii="Verdana" w:eastAsia="Calibri" w:hAnsi="Verdana" w:cs="Calibri"/>
          <w:lang w:eastAsia="en-US"/>
        </w:rPr>
        <w:tab/>
        <w:t>0,00 €</w:t>
      </w:r>
    </w:p>
    <w:p w:rsidR="00E85424" w:rsidRDefault="00E85424" w:rsidP="00E85424">
      <w:pPr>
        <w:tabs>
          <w:tab w:val="left" w:pos="567"/>
          <w:tab w:val="decimal" w:pos="7655"/>
        </w:tabs>
        <w:rPr>
          <w:rFonts w:ascii="Verdana" w:eastAsia="Calibri" w:hAnsi="Verdana" w:cs="Calibri"/>
          <w:lang w:eastAsia="en-US"/>
        </w:rPr>
      </w:pPr>
      <w:r>
        <w:rPr>
          <w:rFonts w:ascii="Verdana" w:eastAsia="Calibri" w:hAnsi="Verdana" w:cs="Calibri"/>
          <w:lang w:eastAsia="en-US"/>
        </w:rPr>
        <w:tab/>
        <w:t>Capítulo 8: Activos Financieros.                                                 5.000,00€</w:t>
      </w:r>
    </w:p>
    <w:p w:rsidR="00E85424" w:rsidRPr="00E85424" w:rsidRDefault="00E85424" w:rsidP="00E85424">
      <w:pPr>
        <w:tabs>
          <w:tab w:val="left" w:pos="567"/>
          <w:tab w:val="decimal" w:pos="7655"/>
        </w:tabs>
        <w:rPr>
          <w:rFonts w:ascii="Verdana" w:eastAsia="Calibri" w:hAnsi="Verdana" w:cs="Calibri"/>
          <w:lang w:eastAsia="en-US"/>
        </w:rPr>
      </w:pPr>
      <w:r>
        <w:rPr>
          <w:rFonts w:ascii="Verdana" w:eastAsia="Calibri" w:hAnsi="Verdana" w:cs="Calibri"/>
          <w:lang w:eastAsia="en-US"/>
        </w:rPr>
        <w:tab/>
        <w:t>Capítulo 9: Pasivos Financieros                                                69.426,29€</w:t>
      </w:r>
    </w:p>
    <w:p w:rsidR="00E85424" w:rsidRDefault="00E85424" w:rsidP="00D67FF0">
      <w:pPr>
        <w:tabs>
          <w:tab w:val="left" w:pos="1134"/>
          <w:tab w:val="decimal" w:pos="7655"/>
        </w:tabs>
        <w:spacing w:after="160" w:line="259" w:lineRule="auto"/>
        <w:ind w:right="-1"/>
        <w:rPr>
          <w:rFonts w:ascii="Verdana" w:eastAsia="Calibri" w:hAnsi="Verdana" w:cs="Calibri"/>
          <w:b/>
          <w:lang w:eastAsia="en-US"/>
        </w:rPr>
      </w:pPr>
    </w:p>
    <w:p w:rsidR="00D67FF0" w:rsidRPr="00D67FF0" w:rsidRDefault="00E85424" w:rsidP="00D67FF0">
      <w:pPr>
        <w:tabs>
          <w:tab w:val="left" w:pos="1134"/>
          <w:tab w:val="decimal" w:pos="7655"/>
        </w:tabs>
        <w:spacing w:after="160" w:line="259" w:lineRule="auto"/>
        <w:ind w:right="-1"/>
        <w:rPr>
          <w:rFonts w:ascii="Verdana" w:eastAsia="Calibri" w:hAnsi="Verdana" w:cs="Calibri"/>
          <w:b/>
          <w:lang w:eastAsia="en-US"/>
        </w:rPr>
      </w:pPr>
      <w:r>
        <w:rPr>
          <w:rFonts w:ascii="Verdana" w:eastAsia="Calibri" w:hAnsi="Verdana" w:cs="Calibri"/>
          <w:b/>
          <w:lang w:eastAsia="en-US"/>
        </w:rPr>
        <w:tab/>
      </w:r>
      <w:r w:rsidR="00D67FF0" w:rsidRPr="00D67FF0">
        <w:rPr>
          <w:rFonts w:ascii="Verdana" w:eastAsia="Calibri" w:hAnsi="Verdana" w:cs="Calibri"/>
          <w:b/>
          <w:lang w:eastAsia="en-US"/>
        </w:rPr>
        <w:t>TOTAL</w:t>
      </w:r>
      <w:r w:rsidR="00D67FF0" w:rsidRPr="00D67FF0">
        <w:rPr>
          <w:rFonts w:ascii="Verdana" w:eastAsia="Calibri" w:hAnsi="Verdana" w:cs="Calibri"/>
          <w:b/>
          <w:lang w:eastAsia="en-US"/>
        </w:rPr>
        <w:tab/>
      </w:r>
      <w:r>
        <w:rPr>
          <w:rFonts w:ascii="Verdana" w:eastAsia="Calibri" w:hAnsi="Verdana" w:cs="Calibri"/>
          <w:b/>
          <w:lang w:eastAsia="en-US"/>
        </w:rPr>
        <w:t xml:space="preserve">12.107.802,42 </w:t>
      </w:r>
      <w:r w:rsidR="00D67FF0" w:rsidRPr="00D67FF0">
        <w:rPr>
          <w:rFonts w:ascii="Verdana" w:eastAsia="Calibri" w:hAnsi="Verdana" w:cs="Calibri"/>
          <w:b/>
          <w:lang w:eastAsia="en-US"/>
        </w:rPr>
        <w:t>€</w:t>
      </w:r>
    </w:p>
    <w:tbl>
      <w:tblPr>
        <w:tblStyle w:val="Tabladelista2-nfasis51"/>
        <w:tblW w:w="0" w:type="auto"/>
        <w:tblLook w:val="04A0" w:firstRow="1" w:lastRow="0" w:firstColumn="1" w:lastColumn="0" w:noHBand="0" w:noVBand="1"/>
      </w:tblPr>
      <w:tblGrid>
        <w:gridCol w:w="3770"/>
        <w:gridCol w:w="4734"/>
      </w:tblGrid>
      <w:tr w:rsidR="00D67FF0" w:rsidRPr="00D67FF0" w:rsidTr="007C0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vAlign w:val="center"/>
          </w:tcPr>
          <w:p w:rsidR="00D67FF0" w:rsidRPr="00D67FF0" w:rsidRDefault="00D67FF0" w:rsidP="00D67FF0">
            <w:pPr>
              <w:spacing w:after="160" w:line="259" w:lineRule="auto"/>
              <w:jc w:val="center"/>
              <w:rPr>
                <w:rFonts w:ascii="Verdana" w:hAnsi="Verdana" w:cs="Calibri"/>
                <w:sz w:val="20"/>
                <w:szCs w:val="20"/>
              </w:rPr>
            </w:pPr>
            <w:r w:rsidRPr="00D67FF0">
              <w:rPr>
                <w:rFonts w:ascii="Verdana" w:hAnsi="Verdana" w:cs="Calibri"/>
                <w:sz w:val="20"/>
                <w:szCs w:val="20"/>
              </w:rPr>
              <w:lastRenderedPageBreak/>
              <w:t xml:space="preserve">Capítulos I a VII de Ingresos – </w:t>
            </w:r>
            <w:r w:rsidRPr="00D67FF0">
              <w:rPr>
                <w:rFonts w:ascii="Verdana" w:hAnsi="Verdana" w:cs="Calibri"/>
                <w:sz w:val="20"/>
                <w:szCs w:val="20"/>
              </w:rPr>
              <w:br/>
              <w:t xml:space="preserve">Capítulos I a VII de gastos = </w:t>
            </w:r>
            <w:r w:rsidRPr="00D67FF0">
              <w:rPr>
                <w:rFonts w:ascii="Verdana" w:hAnsi="Verdana" w:cs="Calibri"/>
                <w:sz w:val="20"/>
                <w:szCs w:val="20"/>
              </w:rPr>
              <w:br/>
              <w:t>Superávit (+) / Déficit (-) no financiero</w:t>
            </w:r>
          </w:p>
        </w:tc>
        <w:tc>
          <w:tcPr>
            <w:tcW w:w="4734" w:type="dxa"/>
            <w:vAlign w:val="center"/>
          </w:tcPr>
          <w:p w:rsidR="00D67FF0" w:rsidRPr="00D67FF0" w:rsidRDefault="00E85424" w:rsidP="00D67FF0">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12.182.613,19 </w:t>
            </w:r>
            <w:r w:rsidR="00D67FF0" w:rsidRPr="00D67FF0">
              <w:rPr>
                <w:rFonts w:ascii="Verdana" w:hAnsi="Verdana" w:cs="Calibri"/>
                <w:sz w:val="20"/>
                <w:szCs w:val="20"/>
              </w:rPr>
              <w:t xml:space="preserve">– </w:t>
            </w:r>
            <w:r w:rsidR="00C1073F">
              <w:rPr>
                <w:rFonts w:ascii="Verdana" w:hAnsi="Verdana" w:cs="Calibri"/>
                <w:sz w:val="20"/>
                <w:szCs w:val="20"/>
              </w:rPr>
              <w:t>12.033.376,13</w:t>
            </w:r>
            <w:r w:rsidR="00D67FF0" w:rsidRPr="00D67FF0">
              <w:rPr>
                <w:rFonts w:ascii="Verdana" w:hAnsi="Verdana" w:cs="Calibri"/>
                <w:sz w:val="20"/>
                <w:szCs w:val="20"/>
              </w:rPr>
              <w:t xml:space="preserve"> = </w:t>
            </w:r>
            <w:r w:rsidR="00C1073F">
              <w:rPr>
                <w:rFonts w:ascii="Verdana" w:hAnsi="Verdana" w:cs="Calibri"/>
                <w:sz w:val="20"/>
                <w:szCs w:val="20"/>
              </w:rPr>
              <w:t>14</w:t>
            </w:r>
            <w:r w:rsidR="00F31253">
              <w:rPr>
                <w:rFonts w:ascii="Verdana" w:hAnsi="Verdana" w:cs="Calibri"/>
                <w:sz w:val="20"/>
                <w:szCs w:val="20"/>
              </w:rPr>
              <w:t>9.237</w:t>
            </w:r>
            <w:r w:rsidR="00C1073F">
              <w:rPr>
                <w:rFonts w:ascii="Verdana" w:hAnsi="Verdana" w:cs="Calibri"/>
                <w:sz w:val="20"/>
                <w:szCs w:val="20"/>
              </w:rPr>
              <w:t>,06</w:t>
            </w:r>
          </w:p>
        </w:tc>
      </w:tr>
      <w:tr w:rsidR="00D67FF0" w:rsidRPr="00D67FF0" w:rsidTr="007C0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vAlign w:val="center"/>
          </w:tcPr>
          <w:p w:rsidR="00D67FF0" w:rsidRPr="00D67FF0" w:rsidRDefault="00D67FF0" w:rsidP="00D67FF0">
            <w:pPr>
              <w:spacing w:after="160" w:line="259" w:lineRule="auto"/>
              <w:jc w:val="center"/>
              <w:rPr>
                <w:rFonts w:ascii="Verdana" w:hAnsi="Verdana" w:cs="Calibri"/>
                <w:sz w:val="20"/>
                <w:szCs w:val="20"/>
              </w:rPr>
            </w:pPr>
            <w:r w:rsidRPr="00D67FF0">
              <w:rPr>
                <w:rFonts w:ascii="Verdana" w:hAnsi="Verdana" w:cs="Calibri"/>
                <w:sz w:val="20"/>
                <w:szCs w:val="20"/>
              </w:rPr>
              <w:t>Ajustes SEC</w:t>
            </w:r>
            <w:r w:rsidR="00472D49">
              <w:rPr>
                <w:rFonts w:ascii="Verdana" w:hAnsi="Verdana" w:cs="Calibri"/>
                <w:sz w:val="20"/>
                <w:szCs w:val="20"/>
              </w:rPr>
              <w:t xml:space="preserve"> *</w:t>
            </w:r>
          </w:p>
        </w:tc>
        <w:tc>
          <w:tcPr>
            <w:tcW w:w="4734" w:type="dxa"/>
            <w:vAlign w:val="center"/>
          </w:tcPr>
          <w:p w:rsidR="00D67FF0" w:rsidRPr="00D67FF0" w:rsidRDefault="00472D49" w:rsidP="00D67FF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20"/>
                <w:szCs w:val="20"/>
              </w:rPr>
            </w:pPr>
            <w:r>
              <w:rPr>
                <w:rFonts w:ascii="Verdana" w:hAnsi="Verdana" w:cs="Calibri"/>
                <w:b/>
                <w:sz w:val="20"/>
                <w:szCs w:val="20"/>
              </w:rPr>
              <w:t>147.049,60</w:t>
            </w:r>
          </w:p>
        </w:tc>
      </w:tr>
      <w:tr w:rsidR="00D67FF0" w:rsidRPr="00D67FF0" w:rsidTr="007C035B">
        <w:tc>
          <w:tcPr>
            <w:cnfStyle w:val="001000000000" w:firstRow="0" w:lastRow="0" w:firstColumn="1" w:lastColumn="0" w:oddVBand="0" w:evenVBand="0" w:oddHBand="0" w:evenHBand="0" w:firstRowFirstColumn="0" w:firstRowLastColumn="0" w:lastRowFirstColumn="0" w:lastRowLastColumn="0"/>
            <w:tcW w:w="3770" w:type="dxa"/>
            <w:vAlign w:val="center"/>
          </w:tcPr>
          <w:p w:rsidR="00D67FF0" w:rsidRPr="00D67FF0" w:rsidRDefault="00D67FF0" w:rsidP="00D67FF0">
            <w:pPr>
              <w:spacing w:after="160" w:line="259" w:lineRule="auto"/>
              <w:jc w:val="center"/>
              <w:rPr>
                <w:rFonts w:ascii="Verdana" w:hAnsi="Verdana" w:cs="Calibri"/>
                <w:sz w:val="20"/>
                <w:szCs w:val="20"/>
              </w:rPr>
            </w:pPr>
            <w:r w:rsidRPr="00D67FF0">
              <w:rPr>
                <w:rFonts w:ascii="Verdana" w:hAnsi="Verdana" w:cs="Calibri"/>
                <w:sz w:val="20"/>
                <w:szCs w:val="20"/>
              </w:rPr>
              <w:t xml:space="preserve">Capítulos I a VII de Ingresos – </w:t>
            </w:r>
            <w:r w:rsidRPr="00D67FF0">
              <w:rPr>
                <w:rFonts w:ascii="Verdana" w:hAnsi="Verdana" w:cs="Calibri"/>
                <w:sz w:val="20"/>
                <w:szCs w:val="20"/>
              </w:rPr>
              <w:br/>
              <w:t xml:space="preserve">Capítulos I a VII de gastos = </w:t>
            </w:r>
            <w:r w:rsidRPr="00D67FF0">
              <w:rPr>
                <w:rFonts w:ascii="Verdana" w:hAnsi="Verdana" w:cs="Calibri"/>
                <w:sz w:val="20"/>
                <w:szCs w:val="20"/>
              </w:rPr>
              <w:br/>
              <w:t>Superávit (+) / Déficit (-) AJUSTADO</w:t>
            </w:r>
          </w:p>
        </w:tc>
        <w:tc>
          <w:tcPr>
            <w:tcW w:w="4734" w:type="dxa"/>
            <w:vAlign w:val="center"/>
          </w:tcPr>
          <w:p w:rsidR="00D67FF0" w:rsidRPr="00D67FF0" w:rsidRDefault="00472D49" w:rsidP="00D67FF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b/>
                <w:sz w:val="20"/>
                <w:szCs w:val="20"/>
              </w:rPr>
            </w:pPr>
            <w:r>
              <w:rPr>
                <w:rFonts w:ascii="Verdana" w:hAnsi="Verdana" w:cs="Calibri"/>
                <w:b/>
                <w:sz w:val="20"/>
                <w:szCs w:val="20"/>
              </w:rPr>
              <w:t>14</w:t>
            </w:r>
            <w:r w:rsidR="00F31253">
              <w:rPr>
                <w:rFonts w:ascii="Verdana" w:hAnsi="Verdana" w:cs="Calibri"/>
                <w:b/>
                <w:sz w:val="20"/>
                <w:szCs w:val="20"/>
              </w:rPr>
              <w:t>9.237</w:t>
            </w:r>
            <w:r>
              <w:rPr>
                <w:rFonts w:ascii="Verdana" w:hAnsi="Verdana" w:cs="Calibri"/>
                <w:b/>
                <w:sz w:val="20"/>
                <w:szCs w:val="20"/>
              </w:rPr>
              <w:t>,06-147.049,60</w:t>
            </w:r>
            <w:r w:rsidR="00D67FF0" w:rsidRPr="00D67FF0">
              <w:rPr>
                <w:rFonts w:ascii="Verdana" w:hAnsi="Verdana" w:cs="Calibri"/>
                <w:b/>
                <w:sz w:val="20"/>
                <w:szCs w:val="20"/>
              </w:rPr>
              <w:t xml:space="preserve"> = </w:t>
            </w:r>
            <w:r w:rsidR="00F31253">
              <w:rPr>
                <w:rFonts w:ascii="Verdana" w:hAnsi="Verdana" w:cs="Calibri"/>
                <w:b/>
                <w:sz w:val="20"/>
                <w:szCs w:val="20"/>
              </w:rPr>
              <w:t>2.187</w:t>
            </w:r>
            <w:r>
              <w:rPr>
                <w:rFonts w:ascii="Verdana" w:hAnsi="Verdana" w:cs="Calibri"/>
                <w:b/>
                <w:sz w:val="20"/>
                <w:szCs w:val="20"/>
              </w:rPr>
              <w:t>,46</w:t>
            </w:r>
          </w:p>
        </w:tc>
      </w:tr>
    </w:tbl>
    <w:p w:rsidR="00D67FF0" w:rsidRDefault="00D67FF0" w:rsidP="00D67FF0">
      <w:pPr>
        <w:spacing w:after="160" w:line="259" w:lineRule="auto"/>
        <w:rPr>
          <w:rFonts w:ascii="Verdana" w:eastAsia="Calibri" w:hAnsi="Verdana" w:cs="Calibri"/>
          <w:b/>
          <w:lang w:eastAsia="en-US"/>
        </w:rPr>
      </w:pPr>
    </w:p>
    <w:p w:rsidR="00472D49" w:rsidRDefault="00472D49" w:rsidP="00D67FF0">
      <w:pPr>
        <w:spacing w:after="160" w:line="259" w:lineRule="auto"/>
        <w:rPr>
          <w:rFonts w:ascii="Verdana" w:eastAsia="Calibri" w:hAnsi="Verdana" w:cs="Calibri"/>
          <w:b/>
          <w:lang w:eastAsia="en-US"/>
        </w:rPr>
      </w:pPr>
      <w:r>
        <w:rPr>
          <w:rFonts w:ascii="Verdana" w:eastAsia="Calibri" w:hAnsi="Verdana" w:cs="Calibri"/>
          <w:b/>
          <w:lang w:eastAsia="en-US"/>
        </w:rPr>
        <w:tab/>
        <w:t xml:space="preserve">Ajustes SEC: </w:t>
      </w:r>
    </w:p>
    <w:p w:rsidR="00472D49" w:rsidRDefault="00472D49" w:rsidP="00D67FF0">
      <w:pPr>
        <w:spacing w:after="160" w:line="259" w:lineRule="auto"/>
        <w:rPr>
          <w:rFonts w:ascii="Verdana" w:eastAsia="Calibri" w:hAnsi="Verdana" w:cs="Calibri"/>
          <w:b/>
          <w:lang w:eastAsia="en-US"/>
        </w:rPr>
      </w:pPr>
    </w:p>
    <w:tbl>
      <w:tblPr>
        <w:tblW w:w="9447" w:type="dxa"/>
        <w:tblCellMar>
          <w:left w:w="70" w:type="dxa"/>
          <w:right w:w="70" w:type="dxa"/>
        </w:tblCellMar>
        <w:tblLook w:val="04A0" w:firstRow="1" w:lastRow="0" w:firstColumn="1" w:lastColumn="0" w:noHBand="0" w:noVBand="1"/>
      </w:tblPr>
      <w:tblGrid>
        <w:gridCol w:w="2117"/>
        <w:gridCol w:w="2409"/>
        <w:gridCol w:w="3261"/>
        <w:gridCol w:w="1660"/>
      </w:tblGrid>
      <w:tr w:rsidR="00472D49" w:rsidRPr="00472D49" w:rsidTr="007C035B">
        <w:trPr>
          <w:trHeight w:val="300"/>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b/>
                <w:bCs/>
                <w:sz w:val="18"/>
                <w:szCs w:val="18"/>
              </w:rPr>
            </w:pPr>
            <w:bookmarkStart w:id="1" w:name="_Hlk157424615"/>
            <w:r w:rsidRPr="00472D49">
              <w:rPr>
                <w:rFonts w:asciiTheme="minorHAnsi" w:hAnsiTheme="minorHAnsi" w:cstheme="minorHAnsi"/>
                <w:b/>
                <w:bCs/>
                <w:sz w:val="18"/>
                <w:szCs w:val="18"/>
              </w:rPr>
              <w:t>2021</w:t>
            </w:r>
          </w:p>
        </w:tc>
        <w:tc>
          <w:tcPr>
            <w:tcW w:w="2409" w:type="dxa"/>
            <w:tcBorders>
              <w:top w:val="single" w:sz="8" w:space="0" w:color="000000"/>
              <w:left w:val="nil"/>
              <w:bottom w:val="single" w:sz="8" w:space="0" w:color="000000"/>
              <w:right w:val="single" w:sz="8" w:space="0" w:color="000000"/>
            </w:tcBorders>
            <w:shd w:val="clear" w:color="auto" w:fill="auto"/>
            <w:hideMark/>
          </w:tcPr>
          <w:p w:rsidR="00472D49" w:rsidRPr="00472D49" w:rsidRDefault="00472D49" w:rsidP="00472D49">
            <w:pPr>
              <w:jc w:val="both"/>
              <w:rPr>
                <w:rFonts w:asciiTheme="minorHAnsi" w:hAnsiTheme="minorHAnsi" w:cstheme="minorHAnsi"/>
                <w:b/>
                <w:bCs/>
                <w:sz w:val="18"/>
                <w:szCs w:val="18"/>
              </w:rPr>
            </w:pPr>
            <w:r w:rsidRPr="00472D49">
              <w:rPr>
                <w:rFonts w:asciiTheme="minorHAnsi" w:hAnsiTheme="minorHAnsi" w:cstheme="minorHAnsi"/>
                <w:b/>
                <w:bCs/>
                <w:sz w:val="18"/>
                <w:szCs w:val="18"/>
              </w:rPr>
              <w:t>Previsiones    Iniciales (n-3)</w:t>
            </w:r>
          </w:p>
        </w:tc>
        <w:tc>
          <w:tcPr>
            <w:tcW w:w="3261" w:type="dxa"/>
            <w:tcBorders>
              <w:top w:val="single" w:sz="8" w:space="0" w:color="000000"/>
              <w:left w:val="nil"/>
              <w:bottom w:val="single" w:sz="8" w:space="0" w:color="000000"/>
              <w:right w:val="single" w:sz="8" w:space="0" w:color="000000"/>
            </w:tcBorders>
            <w:shd w:val="clear" w:color="auto" w:fill="auto"/>
            <w:vAlign w:val="center"/>
            <w:hideMark/>
          </w:tcPr>
          <w:p w:rsidR="00472D49" w:rsidRPr="00472D49" w:rsidRDefault="00472D49" w:rsidP="00472D49">
            <w:pPr>
              <w:jc w:val="both"/>
              <w:rPr>
                <w:rFonts w:asciiTheme="minorHAnsi" w:hAnsiTheme="minorHAnsi" w:cstheme="minorHAnsi"/>
                <w:b/>
                <w:bCs/>
                <w:sz w:val="18"/>
                <w:szCs w:val="18"/>
              </w:rPr>
            </w:pPr>
            <w:r w:rsidRPr="00472D49">
              <w:rPr>
                <w:rFonts w:asciiTheme="minorHAnsi" w:hAnsiTheme="minorHAnsi" w:cstheme="minorHAnsi"/>
                <w:b/>
                <w:bCs/>
                <w:sz w:val="18"/>
                <w:szCs w:val="18"/>
              </w:rPr>
              <w:t xml:space="preserve">RECAUDACIÓN NETA: </w:t>
            </w:r>
            <w:proofErr w:type="spellStart"/>
            <w:r w:rsidRPr="00472D49">
              <w:rPr>
                <w:rFonts w:asciiTheme="minorHAnsi" w:hAnsiTheme="minorHAnsi" w:cstheme="minorHAnsi"/>
                <w:b/>
                <w:bCs/>
                <w:sz w:val="18"/>
                <w:szCs w:val="18"/>
              </w:rPr>
              <w:t>Ejer</w:t>
            </w:r>
            <w:proofErr w:type="spellEnd"/>
            <w:r w:rsidRPr="00472D49">
              <w:rPr>
                <w:rFonts w:asciiTheme="minorHAnsi" w:hAnsiTheme="minorHAnsi" w:cstheme="minorHAnsi"/>
                <w:b/>
                <w:bCs/>
                <w:sz w:val="18"/>
                <w:szCs w:val="18"/>
              </w:rPr>
              <w:t xml:space="preserve"> </w:t>
            </w:r>
            <w:proofErr w:type="spellStart"/>
            <w:r w:rsidRPr="00472D49">
              <w:rPr>
                <w:rFonts w:asciiTheme="minorHAnsi" w:hAnsiTheme="minorHAnsi" w:cstheme="minorHAnsi"/>
                <w:b/>
                <w:bCs/>
                <w:sz w:val="18"/>
                <w:szCs w:val="18"/>
              </w:rPr>
              <w:t>cte+cerrado</w:t>
            </w:r>
            <w:proofErr w:type="spellEnd"/>
          </w:p>
        </w:tc>
        <w:tc>
          <w:tcPr>
            <w:tcW w:w="1660" w:type="dxa"/>
            <w:tcBorders>
              <w:top w:val="single" w:sz="8" w:space="0" w:color="000000"/>
              <w:left w:val="nil"/>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b/>
                <w:bCs/>
                <w:sz w:val="18"/>
                <w:szCs w:val="18"/>
              </w:rPr>
            </w:pPr>
            <w:proofErr w:type="gramStart"/>
            <w:r w:rsidRPr="00472D49">
              <w:rPr>
                <w:rFonts w:asciiTheme="minorHAnsi" w:hAnsiTheme="minorHAnsi" w:cstheme="minorHAnsi"/>
                <w:b/>
                <w:bCs/>
                <w:sz w:val="18"/>
                <w:szCs w:val="18"/>
              </w:rPr>
              <w:t>%  Inejecución</w:t>
            </w:r>
            <w:proofErr w:type="gramEnd"/>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1</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4.103.000,00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3.810.173,83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7%</w:t>
            </w: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2</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170.000,00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266.173,99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-57%</w:t>
            </w: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3</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2.919.500,00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2.755.972,65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6%</w:t>
            </w:r>
          </w:p>
        </w:tc>
      </w:tr>
      <w:tr w:rsidR="00472D49" w:rsidRPr="00472D49" w:rsidTr="007C035B">
        <w:trPr>
          <w:trHeight w:val="300"/>
        </w:trPr>
        <w:tc>
          <w:tcPr>
            <w:tcW w:w="2117" w:type="dxa"/>
            <w:tcBorders>
              <w:top w:val="nil"/>
              <w:left w:val="nil"/>
              <w:bottom w:val="nil"/>
              <w:right w:val="nil"/>
            </w:tcBorders>
            <w:shd w:val="clear" w:color="auto" w:fill="auto"/>
            <w:vAlign w:val="bottom"/>
            <w:hideMark/>
          </w:tcPr>
          <w:p w:rsidR="00472D49" w:rsidRPr="00472D49" w:rsidRDefault="00472D49" w:rsidP="00472D49">
            <w:pPr>
              <w:jc w:val="right"/>
              <w:rPr>
                <w:rFonts w:asciiTheme="minorHAnsi" w:hAnsiTheme="minorHAnsi" w:cstheme="minorHAnsi"/>
                <w:sz w:val="18"/>
                <w:szCs w:val="18"/>
              </w:rPr>
            </w:pPr>
          </w:p>
        </w:tc>
        <w:tc>
          <w:tcPr>
            <w:tcW w:w="2409"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c>
          <w:tcPr>
            <w:tcW w:w="3261"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c>
          <w:tcPr>
            <w:tcW w:w="1660"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r>
      <w:tr w:rsidR="00472D49" w:rsidRPr="00472D49" w:rsidTr="007C035B">
        <w:trPr>
          <w:trHeight w:val="300"/>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b/>
                <w:bCs/>
                <w:sz w:val="18"/>
                <w:szCs w:val="18"/>
              </w:rPr>
            </w:pPr>
            <w:r w:rsidRPr="00472D49">
              <w:rPr>
                <w:rFonts w:asciiTheme="minorHAnsi" w:hAnsiTheme="minorHAnsi" w:cstheme="minorHAnsi"/>
                <w:b/>
                <w:bCs/>
                <w:sz w:val="18"/>
                <w:szCs w:val="18"/>
              </w:rPr>
              <w:t>2022</w:t>
            </w:r>
          </w:p>
        </w:tc>
        <w:tc>
          <w:tcPr>
            <w:tcW w:w="2409" w:type="dxa"/>
            <w:tcBorders>
              <w:top w:val="single" w:sz="8" w:space="0" w:color="000000"/>
              <w:left w:val="nil"/>
              <w:bottom w:val="single" w:sz="8" w:space="0" w:color="000000"/>
              <w:right w:val="single" w:sz="8" w:space="0" w:color="000000"/>
            </w:tcBorders>
            <w:shd w:val="clear" w:color="auto" w:fill="auto"/>
            <w:hideMark/>
          </w:tcPr>
          <w:p w:rsidR="00472D49" w:rsidRPr="00472D49" w:rsidRDefault="00472D49" w:rsidP="00472D49">
            <w:pPr>
              <w:jc w:val="both"/>
              <w:rPr>
                <w:rFonts w:asciiTheme="minorHAnsi" w:hAnsiTheme="minorHAnsi" w:cstheme="minorHAnsi"/>
                <w:b/>
                <w:bCs/>
                <w:sz w:val="18"/>
                <w:szCs w:val="18"/>
              </w:rPr>
            </w:pPr>
            <w:r w:rsidRPr="00472D49">
              <w:rPr>
                <w:rFonts w:asciiTheme="minorHAnsi" w:hAnsiTheme="minorHAnsi" w:cstheme="minorHAnsi"/>
                <w:b/>
                <w:bCs/>
                <w:sz w:val="18"/>
                <w:szCs w:val="18"/>
              </w:rPr>
              <w:t>Previsiones    Iniciales (n-2)</w:t>
            </w:r>
          </w:p>
        </w:tc>
        <w:tc>
          <w:tcPr>
            <w:tcW w:w="3261" w:type="dxa"/>
            <w:tcBorders>
              <w:top w:val="single" w:sz="8" w:space="0" w:color="000000"/>
              <w:left w:val="nil"/>
              <w:bottom w:val="single" w:sz="8" w:space="0" w:color="000000"/>
              <w:right w:val="single" w:sz="8" w:space="0" w:color="000000"/>
            </w:tcBorders>
            <w:shd w:val="clear" w:color="auto" w:fill="auto"/>
            <w:vAlign w:val="center"/>
            <w:hideMark/>
          </w:tcPr>
          <w:p w:rsidR="00472D49" w:rsidRPr="00472D49" w:rsidRDefault="00472D49" w:rsidP="00472D49">
            <w:pPr>
              <w:jc w:val="both"/>
              <w:rPr>
                <w:rFonts w:asciiTheme="minorHAnsi" w:hAnsiTheme="minorHAnsi" w:cstheme="minorHAnsi"/>
                <w:b/>
                <w:bCs/>
                <w:sz w:val="18"/>
                <w:szCs w:val="18"/>
              </w:rPr>
            </w:pPr>
            <w:r w:rsidRPr="00472D49">
              <w:rPr>
                <w:rFonts w:asciiTheme="minorHAnsi" w:hAnsiTheme="minorHAnsi" w:cstheme="minorHAnsi"/>
                <w:b/>
                <w:bCs/>
                <w:sz w:val="18"/>
                <w:szCs w:val="18"/>
              </w:rPr>
              <w:t xml:space="preserve">RECAUDACIÓN NETA: </w:t>
            </w:r>
            <w:proofErr w:type="spellStart"/>
            <w:r w:rsidRPr="00472D49">
              <w:rPr>
                <w:rFonts w:asciiTheme="minorHAnsi" w:hAnsiTheme="minorHAnsi" w:cstheme="minorHAnsi"/>
                <w:b/>
                <w:bCs/>
                <w:sz w:val="18"/>
                <w:szCs w:val="18"/>
              </w:rPr>
              <w:t>Ejer</w:t>
            </w:r>
            <w:proofErr w:type="spellEnd"/>
            <w:r w:rsidRPr="00472D49">
              <w:rPr>
                <w:rFonts w:asciiTheme="minorHAnsi" w:hAnsiTheme="minorHAnsi" w:cstheme="minorHAnsi"/>
                <w:b/>
                <w:bCs/>
                <w:sz w:val="18"/>
                <w:szCs w:val="18"/>
              </w:rPr>
              <w:t xml:space="preserve"> </w:t>
            </w:r>
            <w:proofErr w:type="spellStart"/>
            <w:r w:rsidRPr="00472D49">
              <w:rPr>
                <w:rFonts w:asciiTheme="minorHAnsi" w:hAnsiTheme="minorHAnsi" w:cstheme="minorHAnsi"/>
                <w:b/>
                <w:bCs/>
                <w:sz w:val="18"/>
                <w:szCs w:val="18"/>
              </w:rPr>
              <w:t>cte+cerrado</w:t>
            </w:r>
            <w:proofErr w:type="spellEnd"/>
          </w:p>
        </w:tc>
        <w:tc>
          <w:tcPr>
            <w:tcW w:w="1660" w:type="dxa"/>
            <w:tcBorders>
              <w:top w:val="single" w:sz="8" w:space="0" w:color="000000"/>
              <w:left w:val="nil"/>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b/>
                <w:bCs/>
                <w:sz w:val="18"/>
                <w:szCs w:val="18"/>
              </w:rPr>
            </w:pPr>
            <w:proofErr w:type="gramStart"/>
            <w:r w:rsidRPr="00472D49">
              <w:rPr>
                <w:rFonts w:asciiTheme="minorHAnsi" w:hAnsiTheme="minorHAnsi" w:cstheme="minorHAnsi"/>
                <w:b/>
                <w:bCs/>
                <w:sz w:val="18"/>
                <w:szCs w:val="18"/>
              </w:rPr>
              <w:t>%  Inejecución</w:t>
            </w:r>
            <w:proofErr w:type="gramEnd"/>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1</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4.045.000,00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3.510.490,53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13%</w:t>
            </w: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2</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190.500,00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234.740,23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-23%</w:t>
            </w: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3</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3.122.503,46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2.633.561,64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16%</w:t>
            </w:r>
          </w:p>
        </w:tc>
      </w:tr>
      <w:tr w:rsidR="00472D49" w:rsidRPr="00472D49" w:rsidTr="007C035B">
        <w:trPr>
          <w:trHeight w:val="300"/>
        </w:trPr>
        <w:tc>
          <w:tcPr>
            <w:tcW w:w="2117" w:type="dxa"/>
            <w:tcBorders>
              <w:top w:val="nil"/>
              <w:left w:val="nil"/>
              <w:bottom w:val="nil"/>
              <w:right w:val="nil"/>
            </w:tcBorders>
            <w:shd w:val="clear" w:color="auto" w:fill="auto"/>
            <w:vAlign w:val="bottom"/>
            <w:hideMark/>
          </w:tcPr>
          <w:p w:rsidR="00472D49" w:rsidRPr="00472D49" w:rsidRDefault="00472D49" w:rsidP="00472D49">
            <w:pPr>
              <w:jc w:val="right"/>
              <w:rPr>
                <w:rFonts w:asciiTheme="minorHAnsi" w:hAnsiTheme="minorHAnsi" w:cstheme="minorHAnsi"/>
                <w:sz w:val="18"/>
                <w:szCs w:val="18"/>
              </w:rPr>
            </w:pPr>
          </w:p>
        </w:tc>
        <w:tc>
          <w:tcPr>
            <w:tcW w:w="2409"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c>
          <w:tcPr>
            <w:tcW w:w="3261"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c>
          <w:tcPr>
            <w:tcW w:w="1660"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r>
      <w:tr w:rsidR="00472D49" w:rsidRPr="00472D49" w:rsidTr="007C035B">
        <w:trPr>
          <w:trHeight w:val="300"/>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b/>
                <w:bCs/>
                <w:sz w:val="18"/>
                <w:szCs w:val="18"/>
              </w:rPr>
            </w:pPr>
            <w:r w:rsidRPr="00472D49">
              <w:rPr>
                <w:rFonts w:asciiTheme="minorHAnsi" w:hAnsiTheme="minorHAnsi" w:cstheme="minorHAnsi"/>
                <w:b/>
                <w:bCs/>
                <w:sz w:val="18"/>
                <w:szCs w:val="18"/>
              </w:rPr>
              <w:t>2023</w:t>
            </w:r>
          </w:p>
        </w:tc>
        <w:tc>
          <w:tcPr>
            <w:tcW w:w="2409" w:type="dxa"/>
            <w:tcBorders>
              <w:top w:val="single" w:sz="8" w:space="0" w:color="000000"/>
              <w:left w:val="nil"/>
              <w:bottom w:val="single" w:sz="8" w:space="0" w:color="000000"/>
              <w:right w:val="single" w:sz="8" w:space="0" w:color="000000"/>
            </w:tcBorders>
            <w:shd w:val="clear" w:color="auto" w:fill="auto"/>
            <w:hideMark/>
          </w:tcPr>
          <w:p w:rsidR="00472D49" w:rsidRPr="00472D49" w:rsidRDefault="00472D49" w:rsidP="00472D49">
            <w:pPr>
              <w:jc w:val="both"/>
              <w:rPr>
                <w:rFonts w:asciiTheme="minorHAnsi" w:hAnsiTheme="minorHAnsi" w:cstheme="minorHAnsi"/>
                <w:b/>
                <w:bCs/>
                <w:sz w:val="18"/>
                <w:szCs w:val="18"/>
              </w:rPr>
            </w:pPr>
            <w:r w:rsidRPr="00472D49">
              <w:rPr>
                <w:rFonts w:asciiTheme="minorHAnsi" w:hAnsiTheme="minorHAnsi" w:cstheme="minorHAnsi"/>
                <w:b/>
                <w:bCs/>
                <w:sz w:val="18"/>
                <w:szCs w:val="18"/>
              </w:rPr>
              <w:t>Previsiones    Iniciales (n-1)</w:t>
            </w:r>
          </w:p>
        </w:tc>
        <w:tc>
          <w:tcPr>
            <w:tcW w:w="3261" w:type="dxa"/>
            <w:tcBorders>
              <w:top w:val="single" w:sz="8" w:space="0" w:color="000000"/>
              <w:left w:val="nil"/>
              <w:bottom w:val="single" w:sz="8" w:space="0" w:color="000000"/>
              <w:right w:val="single" w:sz="8" w:space="0" w:color="000000"/>
            </w:tcBorders>
            <w:shd w:val="clear" w:color="auto" w:fill="auto"/>
            <w:vAlign w:val="center"/>
            <w:hideMark/>
          </w:tcPr>
          <w:p w:rsidR="00472D49" w:rsidRPr="00472D49" w:rsidRDefault="00472D49" w:rsidP="00472D49">
            <w:pPr>
              <w:jc w:val="both"/>
              <w:rPr>
                <w:rFonts w:asciiTheme="minorHAnsi" w:hAnsiTheme="minorHAnsi" w:cstheme="minorHAnsi"/>
                <w:b/>
                <w:bCs/>
                <w:sz w:val="18"/>
                <w:szCs w:val="18"/>
              </w:rPr>
            </w:pPr>
            <w:r w:rsidRPr="00472D49">
              <w:rPr>
                <w:rFonts w:asciiTheme="minorHAnsi" w:hAnsiTheme="minorHAnsi" w:cstheme="minorHAnsi"/>
                <w:b/>
                <w:bCs/>
                <w:sz w:val="18"/>
                <w:szCs w:val="18"/>
              </w:rPr>
              <w:t xml:space="preserve">RECAUDACIÓN NETA: </w:t>
            </w:r>
            <w:proofErr w:type="spellStart"/>
            <w:r w:rsidRPr="00472D49">
              <w:rPr>
                <w:rFonts w:asciiTheme="minorHAnsi" w:hAnsiTheme="minorHAnsi" w:cstheme="minorHAnsi"/>
                <w:b/>
                <w:bCs/>
                <w:sz w:val="18"/>
                <w:szCs w:val="18"/>
              </w:rPr>
              <w:t>Ejer</w:t>
            </w:r>
            <w:proofErr w:type="spellEnd"/>
            <w:r w:rsidRPr="00472D49">
              <w:rPr>
                <w:rFonts w:asciiTheme="minorHAnsi" w:hAnsiTheme="minorHAnsi" w:cstheme="minorHAnsi"/>
                <w:b/>
                <w:bCs/>
                <w:sz w:val="18"/>
                <w:szCs w:val="18"/>
              </w:rPr>
              <w:t xml:space="preserve"> </w:t>
            </w:r>
            <w:proofErr w:type="spellStart"/>
            <w:r w:rsidRPr="00472D49">
              <w:rPr>
                <w:rFonts w:asciiTheme="minorHAnsi" w:hAnsiTheme="minorHAnsi" w:cstheme="minorHAnsi"/>
                <w:b/>
                <w:bCs/>
                <w:sz w:val="18"/>
                <w:szCs w:val="18"/>
              </w:rPr>
              <w:t>cte+cerrado</w:t>
            </w:r>
            <w:proofErr w:type="spellEnd"/>
          </w:p>
        </w:tc>
        <w:tc>
          <w:tcPr>
            <w:tcW w:w="1660" w:type="dxa"/>
            <w:tcBorders>
              <w:top w:val="single" w:sz="8" w:space="0" w:color="000000"/>
              <w:left w:val="nil"/>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b/>
                <w:bCs/>
                <w:sz w:val="18"/>
                <w:szCs w:val="18"/>
              </w:rPr>
            </w:pPr>
            <w:proofErr w:type="gramStart"/>
            <w:r w:rsidRPr="00472D49">
              <w:rPr>
                <w:rFonts w:asciiTheme="minorHAnsi" w:hAnsiTheme="minorHAnsi" w:cstheme="minorHAnsi"/>
                <w:b/>
                <w:bCs/>
                <w:sz w:val="18"/>
                <w:szCs w:val="18"/>
              </w:rPr>
              <w:t>%  Inejecución</w:t>
            </w:r>
            <w:proofErr w:type="gramEnd"/>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1</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4.057.000,00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3.668.371,51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10%</w:t>
            </w: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2</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250.000,00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131.113,28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48%</w:t>
            </w: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3</w:t>
            </w:r>
          </w:p>
        </w:tc>
        <w:tc>
          <w:tcPr>
            <w:tcW w:w="2409"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3.140.400,00   </w:t>
            </w:r>
          </w:p>
        </w:tc>
        <w:tc>
          <w:tcPr>
            <w:tcW w:w="3261" w:type="dxa"/>
            <w:tcBorders>
              <w:top w:val="nil"/>
              <w:left w:val="nil"/>
              <w:bottom w:val="single" w:sz="8" w:space="0" w:color="000000"/>
              <w:right w:val="single" w:sz="8" w:space="0" w:color="000000"/>
            </w:tcBorders>
            <w:shd w:val="clear" w:color="000000" w:fill="FFFF99"/>
            <w:hideMark/>
          </w:tcPr>
          <w:p w:rsidR="00472D49" w:rsidRPr="00472D49" w:rsidRDefault="00472D49" w:rsidP="00472D49">
            <w:pPr>
              <w:jc w:val="both"/>
              <w:rPr>
                <w:rFonts w:asciiTheme="minorHAnsi" w:hAnsiTheme="minorHAnsi" w:cstheme="minorHAnsi"/>
                <w:sz w:val="18"/>
                <w:szCs w:val="18"/>
              </w:rPr>
            </w:pPr>
            <w:r w:rsidRPr="00472D49">
              <w:rPr>
                <w:rFonts w:asciiTheme="minorHAnsi" w:hAnsiTheme="minorHAnsi" w:cstheme="minorHAnsi"/>
                <w:sz w:val="18"/>
                <w:szCs w:val="18"/>
              </w:rPr>
              <w:t xml:space="preserve">                                                  2.278.661,73   </w:t>
            </w:r>
          </w:p>
        </w:tc>
        <w:tc>
          <w:tcPr>
            <w:tcW w:w="1660"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27%</w:t>
            </w:r>
          </w:p>
        </w:tc>
      </w:tr>
      <w:tr w:rsidR="00472D49" w:rsidRPr="00472D49" w:rsidTr="007C035B">
        <w:trPr>
          <w:trHeight w:val="300"/>
        </w:trPr>
        <w:tc>
          <w:tcPr>
            <w:tcW w:w="2117" w:type="dxa"/>
            <w:tcBorders>
              <w:top w:val="nil"/>
              <w:left w:val="nil"/>
              <w:bottom w:val="nil"/>
              <w:right w:val="nil"/>
            </w:tcBorders>
            <w:shd w:val="clear" w:color="auto" w:fill="auto"/>
            <w:hideMark/>
          </w:tcPr>
          <w:p w:rsidR="00472D49" w:rsidRPr="00472D49" w:rsidRDefault="00472D49" w:rsidP="00472D49">
            <w:pPr>
              <w:jc w:val="right"/>
              <w:rPr>
                <w:rFonts w:asciiTheme="minorHAnsi" w:hAnsiTheme="minorHAnsi" w:cstheme="minorHAnsi"/>
                <w:sz w:val="18"/>
                <w:szCs w:val="18"/>
              </w:rPr>
            </w:pPr>
          </w:p>
        </w:tc>
        <w:tc>
          <w:tcPr>
            <w:tcW w:w="2409" w:type="dxa"/>
            <w:tcBorders>
              <w:top w:val="nil"/>
              <w:left w:val="nil"/>
              <w:bottom w:val="nil"/>
              <w:right w:val="nil"/>
            </w:tcBorders>
            <w:shd w:val="clear" w:color="auto" w:fill="auto"/>
            <w:hideMark/>
          </w:tcPr>
          <w:p w:rsidR="00472D49" w:rsidRPr="00472D49" w:rsidRDefault="00472D49" w:rsidP="00472D49">
            <w:pPr>
              <w:jc w:val="both"/>
              <w:rPr>
                <w:rFonts w:asciiTheme="minorHAnsi" w:hAnsiTheme="minorHAnsi" w:cstheme="minorHAnsi"/>
                <w:sz w:val="18"/>
                <w:szCs w:val="18"/>
              </w:rPr>
            </w:pPr>
          </w:p>
        </w:tc>
        <w:tc>
          <w:tcPr>
            <w:tcW w:w="3261" w:type="dxa"/>
            <w:tcBorders>
              <w:top w:val="nil"/>
              <w:left w:val="nil"/>
              <w:bottom w:val="nil"/>
              <w:right w:val="nil"/>
            </w:tcBorders>
            <w:shd w:val="clear" w:color="auto" w:fill="auto"/>
            <w:hideMark/>
          </w:tcPr>
          <w:p w:rsidR="00472D49" w:rsidRPr="00472D49" w:rsidRDefault="00472D49" w:rsidP="00472D49">
            <w:pPr>
              <w:jc w:val="both"/>
              <w:rPr>
                <w:rFonts w:asciiTheme="minorHAnsi" w:hAnsiTheme="minorHAnsi" w:cstheme="minorHAnsi"/>
                <w:sz w:val="18"/>
                <w:szCs w:val="18"/>
              </w:rPr>
            </w:pPr>
          </w:p>
        </w:tc>
        <w:tc>
          <w:tcPr>
            <w:tcW w:w="1660" w:type="dxa"/>
            <w:tcBorders>
              <w:top w:val="nil"/>
              <w:left w:val="nil"/>
              <w:bottom w:val="nil"/>
              <w:right w:val="nil"/>
            </w:tcBorders>
            <w:shd w:val="clear" w:color="auto" w:fill="auto"/>
            <w:hideMark/>
          </w:tcPr>
          <w:p w:rsidR="00472D49" w:rsidRPr="00472D49" w:rsidRDefault="00472D49" w:rsidP="00472D49">
            <w:pPr>
              <w:jc w:val="both"/>
              <w:rPr>
                <w:rFonts w:asciiTheme="minorHAnsi" w:hAnsiTheme="minorHAnsi" w:cstheme="minorHAnsi"/>
                <w:sz w:val="18"/>
                <w:szCs w:val="18"/>
              </w:rPr>
            </w:pPr>
          </w:p>
        </w:tc>
      </w:tr>
      <w:tr w:rsidR="00472D49" w:rsidRPr="00472D49" w:rsidTr="007C035B">
        <w:trPr>
          <w:trHeight w:val="588"/>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rsidR="00472D49" w:rsidRPr="00472D49" w:rsidRDefault="00472D49" w:rsidP="00472D49">
            <w:pPr>
              <w:jc w:val="center"/>
              <w:rPr>
                <w:rFonts w:asciiTheme="minorHAnsi" w:hAnsiTheme="minorHAnsi" w:cstheme="minorHAnsi"/>
                <w:b/>
                <w:bCs/>
                <w:sz w:val="18"/>
                <w:szCs w:val="18"/>
              </w:rPr>
            </w:pPr>
            <w:r w:rsidRPr="00472D49">
              <w:rPr>
                <w:rFonts w:asciiTheme="minorHAnsi" w:hAnsiTheme="minorHAnsi" w:cstheme="minorHAnsi"/>
                <w:b/>
                <w:bCs/>
                <w:sz w:val="18"/>
                <w:szCs w:val="18"/>
              </w:rPr>
              <w:t>Cálculo medio de porcentajes de inejecución.</w:t>
            </w:r>
          </w:p>
        </w:tc>
        <w:tc>
          <w:tcPr>
            <w:tcW w:w="2409" w:type="dxa"/>
            <w:tcBorders>
              <w:top w:val="single" w:sz="8" w:space="0" w:color="000000"/>
              <w:left w:val="nil"/>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b/>
                <w:bCs/>
                <w:sz w:val="18"/>
                <w:szCs w:val="18"/>
              </w:rPr>
            </w:pPr>
            <w:proofErr w:type="gramStart"/>
            <w:r w:rsidRPr="00472D49">
              <w:rPr>
                <w:rFonts w:asciiTheme="minorHAnsi" w:hAnsiTheme="minorHAnsi" w:cstheme="minorHAnsi"/>
                <w:b/>
                <w:bCs/>
                <w:sz w:val="18"/>
                <w:szCs w:val="18"/>
              </w:rPr>
              <w:t>%  Inejecución</w:t>
            </w:r>
            <w:proofErr w:type="gramEnd"/>
          </w:p>
        </w:tc>
        <w:tc>
          <w:tcPr>
            <w:tcW w:w="3261" w:type="dxa"/>
            <w:tcBorders>
              <w:top w:val="nil"/>
              <w:left w:val="nil"/>
              <w:bottom w:val="nil"/>
              <w:right w:val="nil"/>
            </w:tcBorders>
            <w:shd w:val="clear" w:color="auto" w:fill="auto"/>
            <w:noWrap/>
            <w:vAlign w:val="bottom"/>
            <w:hideMark/>
          </w:tcPr>
          <w:p w:rsidR="00472D49" w:rsidRPr="00472D49" w:rsidRDefault="00472D49" w:rsidP="00472D49">
            <w:pPr>
              <w:jc w:val="center"/>
              <w:rPr>
                <w:rFonts w:asciiTheme="minorHAnsi" w:hAnsiTheme="minorHAnsi" w:cstheme="minorHAnsi"/>
                <w:b/>
                <w:bCs/>
                <w:sz w:val="18"/>
                <w:szCs w:val="18"/>
              </w:rPr>
            </w:pPr>
          </w:p>
        </w:tc>
        <w:tc>
          <w:tcPr>
            <w:tcW w:w="1660"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1</w:t>
            </w:r>
          </w:p>
        </w:tc>
        <w:tc>
          <w:tcPr>
            <w:tcW w:w="2409"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9,98%</w:t>
            </w:r>
          </w:p>
        </w:tc>
        <w:tc>
          <w:tcPr>
            <w:tcW w:w="3261" w:type="dxa"/>
            <w:tcBorders>
              <w:top w:val="nil"/>
              <w:left w:val="nil"/>
              <w:bottom w:val="nil"/>
              <w:right w:val="nil"/>
            </w:tcBorders>
            <w:shd w:val="clear" w:color="auto" w:fill="auto"/>
            <w:noWrap/>
            <w:vAlign w:val="bottom"/>
            <w:hideMark/>
          </w:tcPr>
          <w:p w:rsidR="00472D49" w:rsidRPr="00472D49" w:rsidRDefault="00472D49" w:rsidP="00472D49">
            <w:pPr>
              <w:jc w:val="right"/>
              <w:rPr>
                <w:rFonts w:asciiTheme="minorHAnsi" w:hAnsiTheme="minorHAnsi" w:cstheme="minorHAnsi"/>
                <w:sz w:val="18"/>
                <w:szCs w:val="18"/>
              </w:rPr>
            </w:pPr>
          </w:p>
        </w:tc>
        <w:tc>
          <w:tcPr>
            <w:tcW w:w="1660"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2</w:t>
            </w:r>
          </w:p>
        </w:tc>
        <w:tc>
          <w:tcPr>
            <w:tcW w:w="2409"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-10,75%</w:t>
            </w:r>
          </w:p>
        </w:tc>
        <w:tc>
          <w:tcPr>
            <w:tcW w:w="3261" w:type="dxa"/>
            <w:tcBorders>
              <w:top w:val="nil"/>
              <w:left w:val="nil"/>
              <w:bottom w:val="nil"/>
              <w:right w:val="nil"/>
            </w:tcBorders>
            <w:shd w:val="clear" w:color="auto" w:fill="auto"/>
            <w:noWrap/>
            <w:vAlign w:val="bottom"/>
            <w:hideMark/>
          </w:tcPr>
          <w:p w:rsidR="00472D49" w:rsidRPr="00472D49" w:rsidRDefault="00472D49" w:rsidP="00472D49">
            <w:pPr>
              <w:jc w:val="right"/>
              <w:rPr>
                <w:rFonts w:asciiTheme="minorHAnsi" w:hAnsiTheme="minorHAnsi" w:cstheme="minorHAnsi"/>
                <w:sz w:val="18"/>
                <w:szCs w:val="18"/>
              </w:rPr>
            </w:pPr>
          </w:p>
        </w:tc>
        <w:tc>
          <w:tcPr>
            <w:tcW w:w="1660"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r>
      <w:tr w:rsidR="00472D49" w:rsidRPr="00472D49" w:rsidTr="007C035B">
        <w:trPr>
          <w:trHeight w:val="300"/>
        </w:trPr>
        <w:tc>
          <w:tcPr>
            <w:tcW w:w="2117" w:type="dxa"/>
            <w:tcBorders>
              <w:top w:val="nil"/>
              <w:left w:val="single" w:sz="8" w:space="0" w:color="000000"/>
              <w:bottom w:val="single" w:sz="8" w:space="0" w:color="000000"/>
              <w:right w:val="single" w:sz="8" w:space="0" w:color="000000"/>
            </w:tcBorders>
            <w:shd w:val="clear" w:color="auto" w:fill="auto"/>
            <w:hideMark/>
          </w:tcPr>
          <w:p w:rsidR="00472D49" w:rsidRPr="00472D49" w:rsidRDefault="00472D49" w:rsidP="00472D49">
            <w:pPr>
              <w:jc w:val="center"/>
              <w:rPr>
                <w:rFonts w:asciiTheme="minorHAnsi" w:hAnsiTheme="minorHAnsi" w:cstheme="minorHAnsi"/>
                <w:sz w:val="18"/>
                <w:szCs w:val="18"/>
              </w:rPr>
            </w:pPr>
            <w:r w:rsidRPr="00472D49">
              <w:rPr>
                <w:rFonts w:asciiTheme="minorHAnsi" w:hAnsiTheme="minorHAnsi" w:cstheme="minorHAnsi"/>
                <w:sz w:val="18"/>
                <w:szCs w:val="18"/>
              </w:rPr>
              <w:t>Cap. 3</w:t>
            </w:r>
          </w:p>
        </w:tc>
        <w:tc>
          <w:tcPr>
            <w:tcW w:w="2409" w:type="dxa"/>
            <w:tcBorders>
              <w:top w:val="nil"/>
              <w:left w:val="nil"/>
              <w:bottom w:val="single" w:sz="8" w:space="0" w:color="000000"/>
              <w:right w:val="single" w:sz="8" w:space="0" w:color="000000"/>
            </w:tcBorders>
            <w:shd w:val="clear" w:color="000000" w:fill="C0C0C0"/>
            <w:hideMark/>
          </w:tcPr>
          <w:p w:rsidR="00472D49" w:rsidRPr="00472D49" w:rsidRDefault="00472D49" w:rsidP="00472D49">
            <w:pPr>
              <w:jc w:val="right"/>
              <w:rPr>
                <w:rFonts w:asciiTheme="minorHAnsi" w:hAnsiTheme="minorHAnsi" w:cstheme="minorHAnsi"/>
                <w:sz w:val="18"/>
                <w:szCs w:val="18"/>
              </w:rPr>
            </w:pPr>
            <w:r w:rsidRPr="00472D49">
              <w:rPr>
                <w:rFonts w:asciiTheme="minorHAnsi" w:hAnsiTheme="minorHAnsi" w:cstheme="minorHAnsi"/>
                <w:sz w:val="18"/>
                <w:szCs w:val="18"/>
              </w:rPr>
              <w:t>16,23%</w:t>
            </w:r>
          </w:p>
        </w:tc>
        <w:tc>
          <w:tcPr>
            <w:tcW w:w="3261" w:type="dxa"/>
            <w:tcBorders>
              <w:top w:val="nil"/>
              <w:left w:val="nil"/>
              <w:bottom w:val="nil"/>
              <w:right w:val="nil"/>
            </w:tcBorders>
            <w:shd w:val="clear" w:color="auto" w:fill="auto"/>
            <w:noWrap/>
            <w:vAlign w:val="bottom"/>
            <w:hideMark/>
          </w:tcPr>
          <w:p w:rsidR="00472D49" w:rsidRPr="00472D49" w:rsidRDefault="00472D49" w:rsidP="00472D49">
            <w:pPr>
              <w:jc w:val="right"/>
              <w:rPr>
                <w:rFonts w:asciiTheme="minorHAnsi" w:hAnsiTheme="minorHAnsi" w:cstheme="minorHAnsi"/>
                <w:sz w:val="18"/>
                <w:szCs w:val="18"/>
              </w:rPr>
            </w:pPr>
          </w:p>
        </w:tc>
        <w:tc>
          <w:tcPr>
            <w:tcW w:w="1660" w:type="dxa"/>
            <w:tcBorders>
              <w:top w:val="nil"/>
              <w:left w:val="nil"/>
              <w:bottom w:val="nil"/>
              <w:right w:val="nil"/>
            </w:tcBorders>
            <w:shd w:val="clear" w:color="auto" w:fill="auto"/>
            <w:noWrap/>
            <w:vAlign w:val="bottom"/>
            <w:hideMark/>
          </w:tcPr>
          <w:p w:rsidR="00472D49" w:rsidRPr="00472D49" w:rsidRDefault="00472D49" w:rsidP="00472D49">
            <w:pPr>
              <w:rPr>
                <w:rFonts w:asciiTheme="minorHAnsi" w:hAnsiTheme="minorHAnsi" w:cstheme="minorHAnsi"/>
                <w:sz w:val="18"/>
                <w:szCs w:val="18"/>
              </w:rPr>
            </w:pPr>
          </w:p>
        </w:tc>
      </w:tr>
      <w:bookmarkEnd w:id="1"/>
    </w:tbl>
    <w:p w:rsidR="00472D49" w:rsidRDefault="00472D49" w:rsidP="00D67FF0">
      <w:pPr>
        <w:spacing w:after="160" w:line="259" w:lineRule="auto"/>
        <w:rPr>
          <w:rFonts w:ascii="Verdana" w:eastAsia="Calibri" w:hAnsi="Verdana" w:cs="Calibri"/>
          <w:b/>
          <w:lang w:eastAsia="en-US"/>
        </w:rPr>
      </w:pPr>
    </w:p>
    <w:p w:rsidR="00472D49" w:rsidRDefault="00472D49" w:rsidP="00D67FF0">
      <w:pPr>
        <w:spacing w:after="160" w:line="259" w:lineRule="auto"/>
        <w:rPr>
          <w:rFonts w:ascii="Verdana" w:eastAsia="Calibri" w:hAnsi="Verdana" w:cs="Calibri"/>
          <w:b/>
          <w:lang w:eastAsia="en-US"/>
        </w:rPr>
      </w:pPr>
    </w:p>
    <w:p w:rsidR="00472D49" w:rsidRDefault="00472D49" w:rsidP="00D67FF0">
      <w:pPr>
        <w:spacing w:after="160" w:line="259" w:lineRule="auto"/>
        <w:rPr>
          <w:rFonts w:ascii="Verdana" w:eastAsia="Calibri" w:hAnsi="Verdana" w:cs="Calibri"/>
          <w:b/>
          <w:lang w:eastAsia="en-US"/>
        </w:rPr>
      </w:pPr>
    </w:p>
    <w:p w:rsidR="00472D49" w:rsidRDefault="00472D49" w:rsidP="00D67FF0">
      <w:pPr>
        <w:spacing w:after="160" w:line="259" w:lineRule="auto"/>
        <w:rPr>
          <w:rFonts w:ascii="Verdana" w:eastAsia="Calibri" w:hAnsi="Verdana" w:cs="Calibri"/>
          <w:b/>
          <w:lang w:eastAsia="en-US"/>
        </w:rPr>
      </w:pPr>
    </w:p>
    <w:tbl>
      <w:tblPr>
        <w:tblW w:w="8220" w:type="dxa"/>
        <w:tblCellMar>
          <w:left w:w="70" w:type="dxa"/>
          <w:right w:w="70" w:type="dxa"/>
        </w:tblCellMar>
        <w:tblLook w:val="04A0" w:firstRow="1" w:lastRow="0" w:firstColumn="1" w:lastColumn="0" w:noHBand="0" w:noVBand="1"/>
      </w:tblPr>
      <w:tblGrid>
        <w:gridCol w:w="4820"/>
        <w:gridCol w:w="1520"/>
        <w:gridCol w:w="1880"/>
      </w:tblGrid>
      <w:tr w:rsidR="00472D49" w:rsidRPr="00472D49" w:rsidTr="007C035B">
        <w:trPr>
          <w:trHeight w:val="570"/>
        </w:trPr>
        <w:tc>
          <w:tcPr>
            <w:tcW w:w="4820" w:type="dxa"/>
            <w:tcBorders>
              <w:top w:val="single" w:sz="8" w:space="0" w:color="auto"/>
              <w:left w:val="single" w:sz="8" w:space="0" w:color="auto"/>
              <w:bottom w:val="nil"/>
              <w:right w:val="single" w:sz="8" w:space="0" w:color="auto"/>
            </w:tcBorders>
            <w:shd w:val="clear" w:color="000000" w:fill="CCCCCC"/>
            <w:vAlign w:val="bottom"/>
            <w:hideMark/>
          </w:tcPr>
          <w:p w:rsidR="00472D49" w:rsidRPr="00472D49" w:rsidRDefault="00472D49" w:rsidP="00472D49">
            <w:pPr>
              <w:jc w:val="cente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lastRenderedPageBreak/>
              <w:t xml:space="preserve">Resumen </w:t>
            </w:r>
          </w:p>
        </w:tc>
        <w:tc>
          <w:tcPr>
            <w:tcW w:w="1520" w:type="dxa"/>
            <w:tcBorders>
              <w:top w:val="single" w:sz="8" w:space="0" w:color="auto"/>
              <w:left w:val="nil"/>
              <w:bottom w:val="nil"/>
              <w:right w:val="single" w:sz="8" w:space="0" w:color="auto"/>
            </w:tcBorders>
            <w:shd w:val="clear" w:color="000000" w:fill="CCCCCC"/>
            <w:vAlign w:val="bottom"/>
            <w:hideMark/>
          </w:tcPr>
          <w:p w:rsidR="00472D49" w:rsidRPr="00472D49" w:rsidRDefault="00472D49" w:rsidP="00472D49">
            <w:pPr>
              <w:jc w:val="cente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Ajustes SEC (95)</w:t>
            </w:r>
          </w:p>
        </w:tc>
        <w:tc>
          <w:tcPr>
            <w:tcW w:w="1880" w:type="dxa"/>
            <w:tcBorders>
              <w:top w:val="single" w:sz="8" w:space="0" w:color="auto"/>
              <w:left w:val="nil"/>
              <w:bottom w:val="nil"/>
              <w:right w:val="single" w:sz="8" w:space="0" w:color="auto"/>
            </w:tcBorders>
            <w:shd w:val="clear" w:color="000000" w:fill="CCCCCC"/>
            <w:vAlign w:val="bottom"/>
            <w:hideMark/>
          </w:tcPr>
          <w:p w:rsidR="00472D49" w:rsidRPr="00472D49" w:rsidRDefault="00472D49" w:rsidP="00472D49">
            <w:pPr>
              <w:jc w:val="cente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OBSERVACIONES</w:t>
            </w:r>
          </w:p>
        </w:tc>
      </w:tr>
      <w:tr w:rsidR="00472D49" w:rsidRPr="00472D49" w:rsidTr="007C035B">
        <w:trPr>
          <w:trHeight w:val="345"/>
        </w:trPr>
        <w:tc>
          <w:tcPr>
            <w:tcW w:w="4820" w:type="dxa"/>
            <w:tcBorders>
              <w:top w:val="nil"/>
              <w:left w:val="single" w:sz="8" w:space="0" w:color="auto"/>
              <w:bottom w:val="nil"/>
              <w:right w:val="single" w:sz="8" w:space="0" w:color="auto"/>
            </w:tcBorders>
            <w:shd w:val="clear" w:color="000000" w:fill="CCCCCC"/>
            <w:vAlign w:val="bottom"/>
            <w:hideMark/>
          </w:tcPr>
          <w:p w:rsidR="00472D49" w:rsidRPr="00472D49" w:rsidRDefault="00472D49" w:rsidP="00472D49">
            <w:pPr>
              <w:jc w:val="cente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 </w:t>
            </w:r>
          </w:p>
        </w:tc>
        <w:tc>
          <w:tcPr>
            <w:tcW w:w="1520" w:type="dxa"/>
            <w:tcBorders>
              <w:top w:val="nil"/>
              <w:left w:val="nil"/>
              <w:bottom w:val="nil"/>
              <w:right w:val="single" w:sz="8" w:space="0" w:color="auto"/>
            </w:tcBorders>
            <w:shd w:val="clear" w:color="000000" w:fill="CCCCCC"/>
            <w:vAlign w:val="bottom"/>
            <w:hideMark/>
          </w:tcPr>
          <w:p w:rsidR="00472D49" w:rsidRPr="00472D49" w:rsidRDefault="00472D49" w:rsidP="00472D49">
            <w:pPr>
              <w:jc w:val="cente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INGRESOS</w:t>
            </w:r>
          </w:p>
        </w:tc>
        <w:tc>
          <w:tcPr>
            <w:tcW w:w="1880" w:type="dxa"/>
            <w:tcBorders>
              <w:top w:val="nil"/>
              <w:left w:val="nil"/>
              <w:bottom w:val="nil"/>
              <w:right w:val="single" w:sz="8" w:space="0" w:color="auto"/>
            </w:tcBorders>
            <w:shd w:val="clear" w:color="000000" w:fill="CCCCCC"/>
            <w:vAlign w:val="bottom"/>
            <w:hideMark/>
          </w:tcPr>
          <w:p w:rsidR="00472D49" w:rsidRPr="00472D49" w:rsidRDefault="00472D49" w:rsidP="00472D49">
            <w:pPr>
              <w:jc w:val="cente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 </w:t>
            </w:r>
          </w:p>
        </w:tc>
      </w:tr>
      <w:tr w:rsidR="00472D49" w:rsidRPr="00472D49" w:rsidTr="007C035B">
        <w:trPr>
          <w:trHeight w:val="300"/>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xml:space="preserve">(+/-) Ajuste Recaudación </w:t>
            </w:r>
            <w:proofErr w:type="spellStart"/>
            <w:r w:rsidRPr="00472D49">
              <w:rPr>
                <w:rFonts w:asciiTheme="minorHAnsi" w:hAnsiTheme="minorHAnsi" w:cstheme="minorHAnsi"/>
                <w:color w:val="000000"/>
                <w:sz w:val="18"/>
                <w:szCs w:val="18"/>
              </w:rPr>
              <w:t>Cap</w:t>
            </w:r>
            <w:proofErr w:type="spellEnd"/>
            <w:r w:rsidRPr="00472D49">
              <w:rPr>
                <w:rFonts w:asciiTheme="minorHAnsi" w:hAnsiTheme="minorHAnsi" w:cstheme="minorHAnsi"/>
                <w:color w:val="000000"/>
                <w:sz w:val="18"/>
                <w:szCs w:val="18"/>
              </w:rPr>
              <w:t xml:space="preserve"> 1</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-108.696,39</w:t>
            </w:r>
          </w:p>
        </w:tc>
        <w:tc>
          <w:tcPr>
            <w:tcW w:w="1880" w:type="dxa"/>
            <w:tcBorders>
              <w:top w:val="single" w:sz="8" w:space="0" w:color="auto"/>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xml:space="preserve">(+/-) Ajuste Recaudación </w:t>
            </w:r>
            <w:proofErr w:type="spellStart"/>
            <w:r w:rsidRPr="00472D49">
              <w:rPr>
                <w:rFonts w:asciiTheme="minorHAnsi" w:hAnsiTheme="minorHAnsi" w:cstheme="minorHAnsi"/>
                <w:color w:val="000000"/>
                <w:sz w:val="18"/>
                <w:szCs w:val="18"/>
              </w:rPr>
              <w:t>Cap</w:t>
            </w:r>
            <w:proofErr w:type="spellEnd"/>
            <w:r w:rsidRPr="00472D49">
              <w:rPr>
                <w:rFonts w:asciiTheme="minorHAnsi" w:hAnsiTheme="minorHAnsi" w:cstheme="minorHAnsi"/>
                <w:color w:val="000000"/>
                <w:sz w:val="18"/>
                <w:szCs w:val="18"/>
              </w:rPr>
              <w:t xml:space="preserve"> 2</w:t>
            </w:r>
          </w:p>
        </w:tc>
        <w:tc>
          <w:tcPr>
            <w:tcW w:w="1520" w:type="dxa"/>
            <w:tcBorders>
              <w:top w:val="nil"/>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2.095,70</w:t>
            </w:r>
          </w:p>
        </w:tc>
        <w:tc>
          <w:tcPr>
            <w:tcW w:w="1880" w:type="dxa"/>
            <w:tcBorders>
              <w:top w:val="nil"/>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xml:space="preserve">(+/-) Ajuste Recaudación </w:t>
            </w:r>
            <w:proofErr w:type="spellStart"/>
            <w:r w:rsidRPr="00472D49">
              <w:rPr>
                <w:rFonts w:asciiTheme="minorHAnsi" w:hAnsiTheme="minorHAnsi" w:cstheme="minorHAnsi"/>
                <w:color w:val="000000"/>
                <w:sz w:val="18"/>
                <w:szCs w:val="18"/>
              </w:rPr>
              <w:t>Cap</w:t>
            </w:r>
            <w:proofErr w:type="spellEnd"/>
            <w:r w:rsidRPr="00472D49">
              <w:rPr>
                <w:rFonts w:asciiTheme="minorHAnsi" w:hAnsiTheme="minorHAnsi" w:cstheme="minorHAnsi"/>
                <w:color w:val="000000"/>
                <w:sz w:val="18"/>
                <w:szCs w:val="18"/>
              </w:rPr>
              <w:t xml:space="preserve"> 3</w:t>
            </w:r>
          </w:p>
        </w:tc>
        <w:tc>
          <w:tcPr>
            <w:tcW w:w="1520" w:type="dxa"/>
            <w:tcBorders>
              <w:top w:val="nil"/>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-70.777,71</w:t>
            </w:r>
          </w:p>
        </w:tc>
        <w:tc>
          <w:tcPr>
            <w:tcW w:w="1880" w:type="dxa"/>
            <w:tcBorders>
              <w:top w:val="nil"/>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Liquidación PTE 2008</w:t>
            </w:r>
          </w:p>
        </w:tc>
        <w:tc>
          <w:tcPr>
            <w:tcW w:w="1520" w:type="dxa"/>
            <w:tcBorders>
              <w:top w:val="nil"/>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7.955,88</w:t>
            </w:r>
          </w:p>
        </w:tc>
        <w:tc>
          <w:tcPr>
            <w:tcW w:w="1880" w:type="dxa"/>
            <w:tcBorders>
              <w:top w:val="nil"/>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Liquidación PTE 2009</w:t>
            </w:r>
          </w:p>
        </w:tc>
        <w:tc>
          <w:tcPr>
            <w:tcW w:w="1520" w:type="dxa"/>
            <w:tcBorders>
              <w:top w:val="nil"/>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22.372,92</w:t>
            </w:r>
          </w:p>
        </w:tc>
        <w:tc>
          <w:tcPr>
            <w:tcW w:w="1880" w:type="dxa"/>
            <w:tcBorders>
              <w:top w:val="nil"/>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Liquidación PTE 2020</w:t>
            </w:r>
          </w:p>
        </w:tc>
        <w:tc>
          <w:tcPr>
            <w:tcW w:w="1520" w:type="dxa"/>
            <w:tcBorders>
              <w:top w:val="nil"/>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0,00</w:t>
            </w:r>
          </w:p>
        </w:tc>
        <w:tc>
          <w:tcPr>
            <w:tcW w:w="1880" w:type="dxa"/>
            <w:tcBorders>
              <w:top w:val="nil"/>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Ingresos de UE</w:t>
            </w:r>
          </w:p>
        </w:tc>
        <w:tc>
          <w:tcPr>
            <w:tcW w:w="1520" w:type="dxa"/>
            <w:tcBorders>
              <w:top w:val="nil"/>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0,00</w:t>
            </w:r>
          </w:p>
        </w:tc>
        <w:tc>
          <w:tcPr>
            <w:tcW w:w="1880" w:type="dxa"/>
            <w:tcBorders>
              <w:top w:val="nil"/>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Otros</w:t>
            </w:r>
          </w:p>
        </w:tc>
        <w:tc>
          <w:tcPr>
            <w:tcW w:w="1520" w:type="dxa"/>
            <w:tcBorders>
              <w:top w:val="nil"/>
              <w:left w:val="nil"/>
              <w:bottom w:val="single" w:sz="4"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color w:val="000000"/>
                <w:sz w:val="18"/>
                <w:szCs w:val="18"/>
              </w:rPr>
            </w:pPr>
            <w:r w:rsidRPr="00472D49">
              <w:rPr>
                <w:rFonts w:asciiTheme="minorHAnsi" w:hAnsiTheme="minorHAnsi" w:cstheme="minorHAnsi"/>
                <w:color w:val="000000"/>
                <w:sz w:val="18"/>
                <w:szCs w:val="18"/>
              </w:rPr>
              <w:t>0,00</w:t>
            </w:r>
          </w:p>
        </w:tc>
        <w:tc>
          <w:tcPr>
            <w:tcW w:w="1880" w:type="dxa"/>
            <w:tcBorders>
              <w:top w:val="nil"/>
              <w:left w:val="nil"/>
              <w:bottom w:val="single" w:sz="4"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color w:val="000000"/>
                <w:sz w:val="18"/>
                <w:szCs w:val="18"/>
              </w:rPr>
            </w:pPr>
            <w:r w:rsidRPr="00472D49">
              <w:rPr>
                <w:rFonts w:asciiTheme="minorHAnsi" w:hAnsiTheme="minorHAnsi" w:cstheme="minorHAnsi"/>
                <w:color w:val="000000"/>
                <w:sz w:val="18"/>
                <w:szCs w:val="18"/>
              </w:rPr>
              <w:t> </w:t>
            </w:r>
          </w:p>
        </w:tc>
      </w:tr>
      <w:tr w:rsidR="00472D49" w:rsidRPr="00472D49" w:rsidTr="007C035B">
        <w:trPr>
          <w:trHeight w:val="300"/>
        </w:trPr>
        <w:tc>
          <w:tcPr>
            <w:tcW w:w="4820" w:type="dxa"/>
            <w:tcBorders>
              <w:top w:val="nil"/>
              <w:left w:val="single" w:sz="8" w:space="0" w:color="auto"/>
              <w:bottom w:val="single" w:sz="8" w:space="0" w:color="auto"/>
              <w:right w:val="single" w:sz="4" w:space="0" w:color="auto"/>
            </w:tcBorders>
            <w:shd w:val="clear" w:color="auto" w:fill="auto"/>
            <w:noWrap/>
            <w:vAlign w:val="bottom"/>
            <w:hideMark/>
          </w:tcPr>
          <w:p w:rsidR="00472D49" w:rsidRPr="00472D49" w:rsidRDefault="00472D49" w:rsidP="00472D49">
            <w:pP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Total</w:t>
            </w:r>
          </w:p>
        </w:tc>
        <w:tc>
          <w:tcPr>
            <w:tcW w:w="1520" w:type="dxa"/>
            <w:tcBorders>
              <w:top w:val="nil"/>
              <w:left w:val="nil"/>
              <w:bottom w:val="single" w:sz="8" w:space="0" w:color="auto"/>
              <w:right w:val="single" w:sz="4" w:space="0" w:color="auto"/>
            </w:tcBorders>
            <w:shd w:val="clear" w:color="auto" w:fill="auto"/>
            <w:noWrap/>
            <w:vAlign w:val="bottom"/>
            <w:hideMark/>
          </w:tcPr>
          <w:p w:rsidR="00472D49" w:rsidRPr="00472D49" w:rsidRDefault="00472D49" w:rsidP="00472D49">
            <w:pPr>
              <w:jc w:val="right"/>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-147.049,60</w:t>
            </w:r>
          </w:p>
        </w:tc>
        <w:tc>
          <w:tcPr>
            <w:tcW w:w="1880" w:type="dxa"/>
            <w:tcBorders>
              <w:top w:val="nil"/>
              <w:left w:val="nil"/>
              <w:bottom w:val="single" w:sz="8" w:space="0" w:color="auto"/>
              <w:right w:val="single" w:sz="8" w:space="0" w:color="auto"/>
            </w:tcBorders>
            <w:shd w:val="clear" w:color="auto" w:fill="auto"/>
            <w:noWrap/>
            <w:vAlign w:val="bottom"/>
            <w:hideMark/>
          </w:tcPr>
          <w:p w:rsidR="00472D49" w:rsidRPr="00472D49" w:rsidRDefault="00472D49" w:rsidP="00472D49">
            <w:pPr>
              <w:rPr>
                <w:rFonts w:asciiTheme="minorHAnsi" w:hAnsiTheme="minorHAnsi" w:cstheme="minorHAnsi"/>
                <w:b/>
                <w:bCs/>
                <w:color w:val="000000"/>
                <w:sz w:val="18"/>
                <w:szCs w:val="18"/>
              </w:rPr>
            </w:pPr>
            <w:r w:rsidRPr="00472D49">
              <w:rPr>
                <w:rFonts w:asciiTheme="minorHAnsi" w:hAnsiTheme="minorHAnsi" w:cstheme="minorHAnsi"/>
                <w:b/>
                <w:bCs/>
                <w:color w:val="000000"/>
                <w:sz w:val="18"/>
                <w:szCs w:val="18"/>
              </w:rPr>
              <w:t> </w:t>
            </w:r>
          </w:p>
        </w:tc>
      </w:tr>
    </w:tbl>
    <w:p w:rsidR="00472D49" w:rsidRDefault="00472D49" w:rsidP="00D67FF0">
      <w:pPr>
        <w:spacing w:after="160" w:line="259" w:lineRule="auto"/>
        <w:rPr>
          <w:rFonts w:ascii="Verdana" w:eastAsia="Calibri" w:hAnsi="Verdana" w:cs="Calibri"/>
          <w:b/>
          <w:lang w:eastAsia="en-US"/>
        </w:rPr>
      </w:pPr>
    </w:p>
    <w:p w:rsidR="00472D49" w:rsidRPr="00D67FF0" w:rsidRDefault="00472D49" w:rsidP="00D67FF0">
      <w:pPr>
        <w:spacing w:after="160" w:line="259" w:lineRule="auto"/>
        <w:rPr>
          <w:rFonts w:ascii="Verdana" w:eastAsia="Calibri" w:hAnsi="Verdana" w:cs="Calibri"/>
          <w:b/>
          <w:lang w:eastAsia="en-US"/>
        </w:rPr>
      </w:pPr>
    </w:p>
    <w:p w:rsidR="00472D49" w:rsidRDefault="00D67FF0" w:rsidP="00D67FF0">
      <w:pPr>
        <w:spacing w:after="160" w:line="259" w:lineRule="auto"/>
        <w:rPr>
          <w:rFonts w:ascii="Verdana" w:eastAsia="Calibri" w:hAnsi="Verdana" w:cs="Calibri"/>
          <w:lang w:eastAsia="en-US"/>
        </w:rPr>
      </w:pPr>
      <w:r w:rsidRPr="00D67FF0">
        <w:rPr>
          <w:rFonts w:ascii="Verdana" w:eastAsia="Calibri" w:hAnsi="Verdana" w:cs="Calibri"/>
          <w:b/>
          <w:lang w:eastAsia="en-US"/>
        </w:rPr>
        <w:t>QUINTO.</w:t>
      </w:r>
      <w:r w:rsidRPr="00D67FF0">
        <w:rPr>
          <w:rFonts w:ascii="Verdana" w:eastAsia="Calibri" w:hAnsi="Verdana" w:cs="Calibri"/>
          <w:lang w:eastAsia="en-US"/>
        </w:rPr>
        <w:t xml:space="preserve"> A este respecto cabe informar del siguiente resultado obtenido: </w:t>
      </w:r>
    </w:p>
    <w:p w:rsidR="00D67FF0" w:rsidRPr="00D67FF0" w:rsidRDefault="00472D49" w:rsidP="00472D49">
      <w:pPr>
        <w:spacing w:after="160" w:line="259" w:lineRule="auto"/>
        <w:ind w:firstLine="708"/>
        <w:jc w:val="both"/>
        <w:rPr>
          <w:rFonts w:ascii="Verdana" w:eastAsia="Calibri" w:hAnsi="Verdana" w:cs="Calibri"/>
          <w:lang w:eastAsia="en-US"/>
        </w:rPr>
      </w:pPr>
      <w:r w:rsidRPr="00472D49">
        <w:rPr>
          <w:rFonts w:ascii="Verdana" w:eastAsia="Calibri" w:hAnsi="Verdana" w:cs="Calibri"/>
          <w:lang w:eastAsia="en-US"/>
        </w:rPr>
        <w:t>Con base en los cálculos detallados en el expediente motivo de este informe se cumple el objetivo de estabilidad presupuestaria de acuerdo con el artículo 16.2 del Real Decreto 1463/2007 de 2 de noviembre, por el que se aprueba el reglamento de desarrollo de la Ley 18/2001, de 12 de diciembre, de Estabilidad Presupuestaria en su aplicación a las Entidades Locales.</w:t>
      </w:r>
    </w:p>
    <w:p w:rsidR="00D67FF0" w:rsidRDefault="00D67FF0" w:rsidP="00D67FF0">
      <w:pPr>
        <w:spacing w:after="160" w:line="259" w:lineRule="auto"/>
        <w:jc w:val="both"/>
        <w:rPr>
          <w:rFonts w:ascii="Calibri" w:eastAsia="Calibri" w:hAnsi="Calibri" w:cs="Calibri"/>
          <w:sz w:val="22"/>
          <w:szCs w:val="22"/>
          <w:lang w:eastAsia="en-US"/>
        </w:rPr>
      </w:pPr>
      <w:r w:rsidRPr="00D67FF0">
        <w:rPr>
          <w:rFonts w:ascii="Verdana" w:eastAsia="Calibri" w:hAnsi="Verdana" w:cs="Calibri"/>
          <w:b/>
          <w:lang w:eastAsia="en-US"/>
        </w:rPr>
        <w:t xml:space="preserve">SEXTO. </w:t>
      </w:r>
      <w:r w:rsidRPr="00D67FF0">
        <w:rPr>
          <w:rFonts w:ascii="Verdana" w:eastAsia="Calibri" w:hAnsi="Verdana" w:cs="Calibri"/>
          <w:lang w:eastAsia="en-US"/>
        </w:rPr>
        <w:t>Por último, una vez aplicados los ajustes SEC a las previsiones de gastos de 202</w:t>
      </w:r>
      <w:r w:rsidR="00472D49">
        <w:rPr>
          <w:rFonts w:ascii="Verdana" w:eastAsia="Calibri" w:hAnsi="Verdana" w:cs="Calibri"/>
          <w:lang w:eastAsia="en-US"/>
        </w:rPr>
        <w:t>4,</w:t>
      </w:r>
      <w:r w:rsidRPr="00D67FF0">
        <w:rPr>
          <w:rFonts w:ascii="Verdana" w:eastAsia="Calibri" w:hAnsi="Verdana" w:cs="Calibri"/>
          <w:lang w:eastAsia="en-US"/>
        </w:rPr>
        <w:t xml:space="preserve"> se establece el límite de gasto no financiero o </w:t>
      </w:r>
      <w:r w:rsidRPr="00D67FF0">
        <w:rPr>
          <w:rFonts w:ascii="Verdana" w:eastAsia="Calibri" w:hAnsi="Verdana" w:cs="Calibri"/>
          <w:b/>
          <w:lang w:eastAsia="en-US"/>
        </w:rPr>
        <w:t>TECHO DE GASTO</w:t>
      </w:r>
      <w:r w:rsidRPr="00D67FF0">
        <w:rPr>
          <w:rFonts w:ascii="Verdana" w:eastAsia="Calibri" w:hAnsi="Verdana" w:cs="Calibri"/>
          <w:lang w:eastAsia="en-US"/>
        </w:rPr>
        <w:t xml:space="preserve"> para el ejercicio 202</w:t>
      </w:r>
      <w:r w:rsidR="00472D49">
        <w:rPr>
          <w:rFonts w:ascii="Verdana" w:eastAsia="Calibri" w:hAnsi="Verdana" w:cs="Calibri"/>
          <w:lang w:eastAsia="en-US"/>
        </w:rPr>
        <w:t>4</w:t>
      </w:r>
      <w:r w:rsidRPr="00D67FF0">
        <w:rPr>
          <w:rFonts w:ascii="Verdana" w:eastAsia="Calibri" w:hAnsi="Verdana" w:cs="Calibri"/>
          <w:lang w:eastAsia="en-US"/>
        </w:rPr>
        <w:t xml:space="preserve"> en </w:t>
      </w:r>
      <w:r w:rsidR="00472D49">
        <w:rPr>
          <w:rFonts w:ascii="Verdana" w:eastAsia="Calibri" w:hAnsi="Verdana" w:cs="Calibri"/>
          <w:b/>
          <w:lang w:eastAsia="en-US"/>
        </w:rPr>
        <w:t>10.752.262</w:t>
      </w:r>
      <w:r w:rsidR="00F31253">
        <w:rPr>
          <w:rFonts w:ascii="Verdana" w:eastAsia="Calibri" w:hAnsi="Verdana" w:cs="Calibri"/>
          <w:b/>
          <w:lang w:eastAsia="en-US"/>
        </w:rPr>
        <w:t>,37</w:t>
      </w:r>
      <w:r w:rsidRPr="00D67FF0">
        <w:rPr>
          <w:rFonts w:ascii="Verdana" w:eastAsia="Calibri" w:hAnsi="Verdana" w:cs="Calibri"/>
          <w:b/>
          <w:lang w:eastAsia="en-US"/>
        </w:rPr>
        <w:t xml:space="preserve"> euros</w:t>
      </w:r>
      <w:r w:rsidRPr="00D67FF0">
        <w:rPr>
          <w:rFonts w:ascii="Calibri" w:eastAsia="Calibri" w:hAnsi="Calibri" w:cs="Calibri"/>
          <w:sz w:val="22"/>
          <w:szCs w:val="22"/>
          <w:lang w:eastAsia="en-US"/>
        </w:rPr>
        <w:t>.</w:t>
      </w:r>
    </w:p>
    <w:p w:rsidR="00AA70BE" w:rsidRPr="00F31253" w:rsidRDefault="00F31253" w:rsidP="00F31253">
      <w:pPr>
        <w:spacing w:after="160" w:line="259" w:lineRule="auto"/>
        <w:jc w:val="both"/>
        <w:rPr>
          <w:rFonts w:ascii="Calibri" w:eastAsia="Calibri" w:hAnsi="Calibri" w:cs="Calibri"/>
          <w:sz w:val="22"/>
          <w:szCs w:val="22"/>
          <w:lang w:eastAsia="en-US"/>
        </w:rPr>
      </w:pPr>
      <w:r>
        <w:rPr>
          <w:rFonts w:ascii="Calibri" w:eastAsia="Calibri" w:hAnsi="Calibri" w:cs="Calibri"/>
          <w:sz w:val="22"/>
          <w:szCs w:val="22"/>
          <w:lang w:eastAsia="en-US"/>
        </w:rPr>
        <w:tab/>
        <w:t xml:space="preserve">El citado importe corresponde al gasto no financiero del presupuesto para el ejercicio 2024, que engloba los capítulos del 1 al 4, descontando los gastos financiados mediante subvenciones procedentes de la Comunidad Autónoma. </w:t>
      </w:r>
    </w:p>
    <w:p w:rsidR="00CB6935" w:rsidRPr="00881A1A" w:rsidRDefault="00CB6935" w:rsidP="00881A1A">
      <w:pPr>
        <w:ind w:left="-284" w:right="-285" w:firstLine="568"/>
        <w:jc w:val="both"/>
        <w:rPr>
          <w:sz w:val="24"/>
          <w:szCs w:val="24"/>
        </w:rPr>
      </w:pPr>
    </w:p>
    <w:p w:rsidR="00CB6935" w:rsidRPr="00F31253" w:rsidRDefault="00CB6935" w:rsidP="00260FE6">
      <w:pPr>
        <w:spacing w:before="240"/>
        <w:ind w:left="-284" w:right="-285" w:firstLine="568"/>
        <w:jc w:val="center"/>
        <w:rPr>
          <w:rFonts w:ascii="Verdana" w:hAnsi="Verdana"/>
          <w:szCs w:val="24"/>
        </w:rPr>
      </w:pPr>
      <w:r w:rsidRPr="00F31253">
        <w:rPr>
          <w:rFonts w:ascii="Verdana" w:hAnsi="Verdana"/>
          <w:szCs w:val="24"/>
        </w:rPr>
        <w:t>En Campo de Criptana, en fecha indicada al margen.</w:t>
      </w:r>
    </w:p>
    <w:p w:rsidR="00260FE6" w:rsidRPr="00F31253" w:rsidRDefault="00260FE6" w:rsidP="00260FE6">
      <w:pPr>
        <w:spacing w:before="240"/>
        <w:ind w:left="-284" w:right="-285" w:firstLine="568"/>
        <w:jc w:val="center"/>
        <w:rPr>
          <w:rFonts w:ascii="Verdana" w:hAnsi="Verdana"/>
          <w:b/>
          <w:szCs w:val="24"/>
        </w:rPr>
      </w:pPr>
      <w:r w:rsidRPr="00F31253">
        <w:rPr>
          <w:rFonts w:ascii="Verdana" w:hAnsi="Verdana"/>
          <w:b/>
          <w:szCs w:val="24"/>
        </w:rPr>
        <w:t>Firmado electrónicamente.</w:t>
      </w:r>
    </w:p>
    <w:p w:rsidR="00260FE6" w:rsidRPr="00F31253" w:rsidRDefault="00260FE6" w:rsidP="00260FE6">
      <w:pPr>
        <w:spacing w:before="240"/>
        <w:ind w:left="-284" w:right="-285" w:firstLine="568"/>
        <w:jc w:val="center"/>
        <w:rPr>
          <w:rFonts w:ascii="Verdana" w:hAnsi="Verdana"/>
          <w:szCs w:val="24"/>
        </w:rPr>
      </w:pPr>
      <w:r w:rsidRPr="00F31253">
        <w:rPr>
          <w:rFonts w:ascii="Verdana" w:hAnsi="Verdana"/>
          <w:szCs w:val="24"/>
        </w:rPr>
        <w:t>LA INTERVENTORA</w:t>
      </w:r>
    </w:p>
    <w:p w:rsidR="0095448D" w:rsidRPr="00260FE6" w:rsidRDefault="0095448D">
      <w:pPr>
        <w:rPr>
          <w:b/>
        </w:rPr>
      </w:pPr>
    </w:p>
    <w:sectPr w:rsidR="0095448D" w:rsidRPr="00260FE6">
      <w:headerReference w:type="default" r:id="rId7"/>
      <w:footerReference w:type="default" r:id="rId8"/>
      <w:type w:val="continuous"/>
      <w:pgSz w:w="11906" w:h="16838" w:code="9"/>
      <w:pgMar w:top="227" w:right="1701" w:bottom="1418" w:left="1134" w:header="113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FE" w:rsidRDefault="002E6DFE">
      <w:r>
        <w:separator/>
      </w:r>
    </w:p>
  </w:endnote>
  <w:endnote w:type="continuationSeparator" w:id="0">
    <w:p w:rsidR="002E6DFE" w:rsidRDefault="002E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8D" w:rsidRDefault="00F72195">
    <w:pPr>
      <w:rPr>
        <w:rFonts w:ascii="Verdana" w:hAnsi="Verdana"/>
        <w:sz w:val="16"/>
      </w:rPr>
    </w:pPr>
    <w:r>
      <w:rPr>
        <w:rFonts w:ascii="Verdana" w:hAnsi="Verdana"/>
        <w:noProof/>
        <w:sz w:val="16"/>
      </w:rPr>
      <w:drawing>
        <wp:anchor distT="0" distB="0" distL="114300" distR="114300" simplePos="0" relativeHeight="251658240" behindDoc="0" locked="0" layoutInCell="1" allowOverlap="1">
          <wp:simplePos x="0" y="0"/>
          <wp:positionH relativeFrom="column">
            <wp:posOffset>5364480</wp:posOffset>
          </wp:positionH>
          <wp:positionV relativeFrom="paragraph">
            <wp:posOffset>-619760</wp:posOffset>
          </wp:positionV>
          <wp:extent cx="1143000" cy="1143000"/>
          <wp:effectExtent l="0" t="0" r="0" b="0"/>
          <wp:wrapNone/>
          <wp:docPr id="2" name="Imagen 2" descr="Logo Tierra de Gig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erra de Gigant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48D">
      <w:rPr>
        <w:rFonts w:ascii="Verdana" w:hAnsi="Verdana"/>
        <w:sz w:val="16"/>
      </w:rPr>
      <w:t>Plaza Mayor, 1 – 13610 Campo de Criptana, Ciudad Real</w:t>
    </w:r>
  </w:p>
  <w:p w:rsidR="0095448D" w:rsidRDefault="0095448D">
    <w:pPr>
      <w:rPr>
        <w:rFonts w:ascii="Verdana" w:hAnsi="Verdana"/>
        <w:sz w:val="16"/>
        <w:lang w:val="en-GB"/>
      </w:rPr>
    </w:pPr>
    <w:proofErr w:type="spellStart"/>
    <w:r>
      <w:rPr>
        <w:rFonts w:ascii="Verdana" w:hAnsi="Verdana"/>
        <w:sz w:val="16"/>
        <w:lang w:val="en-GB"/>
      </w:rPr>
      <w:t>Telfs</w:t>
    </w:r>
    <w:proofErr w:type="spellEnd"/>
    <w:r>
      <w:rPr>
        <w:rFonts w:ascii="Verdana" w:hAnsi="Verdana"/>
        <w:sz w:val="16"/>
        <w:lang w:val="en-GB"/>
      </w:rPr>
      <w:t>.: 926564277 – 562057 – 561242</w:t>
    </w:r>
  </w:p>
  <w:p w:rsidR="0095448D" w:rsidRDefault="0095448D">
    <w:pPr>
      <w:rPr>
        <w:rFonts w:ascii="Verdana" w:hAnsi="Verdana"/>
        <w:sz w:val="16"/>
        <w:lang w:val="en-GB"/>
      </w:rPr>
    </w:pPr>
    <w:r>
      <w:rPr>
        <w:rFonts w:ascii="Verdana" w:hAnsi="Verdana"/>
        <w:sz w:val="16"/>
        <w:lang w:val="en-GB"/>
      </w:rPr>
      <w:t xml:space="preserve">e-mail: </w:t>
    </w:r>
    <w:hyperlink r:id="rId2" w:history="1">
      <w:r>
        <w:rPr>
          <w:rStyle w:val="Hipervnculo"/>
          <w:rFonts w:ascii="Verdana" w:hAnsi="Verdana"/>
          <w:color w:val="auto"/>
          <w:sz w:val="16"/>
          <w:lang w:val="en-GB"/>
        </w:rPr>
        <w:t>ayuntamiento@campodecriptana.es</w:t>
      </w:r>
    </w:hyperlink>
  </w:p>
  <w:p w:rsidR="0095448D" w:rsidRDefault="0095448D">
    <w:pPr>
      <w:rPr>
        <w:rFonts w:ascii="Verdana" w:hAnsi="Verdana"/>
        <w:sz w:val="16"/>
      </w:rPr>
    </w:pPr>
    <w:r>
      <w:rPr>
        <w:rFonts w:ascii="Verdana" w:hAnsi="Verdana"/>
        <w:sz w:val="16"/>
      </w:rPr>
      <w:t xml:space="preserve">C.I.F.: P-1302800-F / </w:t>
    </w:r>
    <w:proofErr w:type="spellStart"/>
    <w:r>
      <w:rPr>
        <w:rFonts w:ascii="Verdana" w:hAnsi="Verdana"/>
        <w:sz w:val="16"/>
      </w:rPr>
      <w:t>Nº</w:t>
    </w:r>
    <w:proofErr w:type="spellEnd"/>
    <w:r>
      <w:rPr>
        <w:rFonts w:ascii="Verdana" w:hAnsi="Verdana"/>
        <w:sz w:val="16"/>
      </w:rPr>
      <w:t xml:space="preserve"> de Registro de Entidades Locales 01130283</w:t>
    </w:r>
  </w:p>
  <w:p w:rsidR="0095448D" w:rsidRDefault="0095448D">
    <w:pPr>
      <w:pStyle w:val="Piedepgina"/>
    </w:pPr>
  </w:p>
  <w:p w:rsidR="0095448D" w:rsidRDefault="0095448D">
    <w:pPr>
      <w:pStyle w:val="Piedepgina"/>
      <w:tabs>
        <w:tab w:val="clear" w:pos="4252"/>
        <w:tab w:val="clear" w:pos="8504"/>
        <w:tab w:val="left" w:pos="30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FE" w:rsidRDefault="002E6DFE">
      <w:r>
        <w:separator/>
      </w:r>
    </w:p>
  </w:footnote>
  <w:footnote w:type="continuationSeparator" w:id="0">
    <w:p w:rsidR="002E6DFE" w:rsidRDefault="002E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8D" w:rsidRDefault="00F72195">
    <w:pPr>
      <w:pStyle w:val="Encabezado"/>
      <w:ind w:left="-142"/>
    </w:pPr>
    <w:r>
      <w:rPr>
        <w:noProof/>
      </w:rPr>
      <w:drawing>
        <wp:anchor distT="0" distB="0" distL="114300" distR="114300" simplePos="0" relativeHeight="251657216" behindDoc="0" locked="0" layoutInCell="1" allowOverlap="1">
          <wp:simplePos x="0" y="0"/>
          <wp:positionH relativeFrom="column">
            <wp:posOffset>-97155</wp:posOffset>
          </wp:positionH>
          <wp:positionV relativeFrom="paragraph">
            <wp:posOffset>-31750</wp:posOffset>
          </wp:positionV>
          <wp:extent cx="724535" cy="724535"/>
          <wp:effectExtent l="0" t="0" r="0" b="0"/>
          <wp:wrapNone/>
          <wp:docPr id="1" name="Imagen 1" descr="Escudo Campo de Criptan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ampo de Criptana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48D" w:rsidRDefault="0095448D">
    <w:pPr>
      <w:ind w:left="142"/>
      <w:rPr>
        <w:rFonts w:ascii="Verdana" w:hAnsi="Verdana"/>
        <w:sz w:val="18"/>
      </w:rPr>
    </w:pPr>
    <w:r>
      <w:t xml:space="preserve">                 </w:t>
    </w:r>
    <w:r>
      <w:rPr>
        <w:rFonts w:ascii="Verdana" w:hAnsi="Verdana"/>
        <w:sz w:val="18"/>
      </w:rPr>
      <w:t>Excmo. Ayuntamiento de</w:t>
    </w:r>
  </w:p>
  <w:p w:rsidR="0095448D" w:rsidRDefault="0095448D">
    <w:pPr>
      <w:rPr>
        <w:rFonts w:ascii="Verdana" w:hAnsi="Verdana"/>
        <w:b/>
        <w:bCs/>
      </w:rPr>
    </w:pPr>
    <w:r>
      <w:rPr>
        <w:rFonts w:ascii="Verdana" w:hAnsi="Verdana"/>
        <w:sz w:val="18"/>
      </w:rPr>
      <w:t xml:space="preserve">                </w:t>
    </w:r>
    <w:r>
      <w:rPr>
        <w:rFonts w:ascii="Verdana" w:hAnsi="Verdana"/>
        <w:b/>
        <w:bCs/>
      </w:rPr>
      <w:t>Campo de Criptana</w:t>
    </w:r>
  </w:p>
  <w:p w:rsidR="0095448D" w:rsidRDefault="0095448D">
    <w:pPr>
      <w:pStyle w:val="Encabezado"/>
    </w:pPr>
    <w:r>
      <w:tab/>
    </w:r>
    <w:r>
      <w:tab/>
    </w:r>
    <w:r>
      <w:tab/>
    </w:r>
    <w:r>
      <w:tab/>
      <w:t xml:space="preserve">           </w:t>
    </w:r>
    <w:r>
      <w:tab/>
    </w:r>
    <w:r>
      <w:tab/>
    </w:r>
    <w:r>
      <w:tab/>
      <w:t xml:space="preserve">             </w:t>
    </w:r>
  </w:p>
  <w:p w:rsidR="0095448D" w:rsidRDefault="0095448D">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6949"/>
    <w:multiLevelType w:val="hybridMultilevel"/>
    <w:tmpl w:val="7AF4627E"/>
    <w:lvl w:ilvl="0" w:tplc="4BC8BD02">
      <w:numFmt w:val="bullet"/>
      <w:lvlText w:val=""/>
      <w:lvlJc w:val="left"/>
      <w:pPr>
        <w:tabs>
          <w:tab w:val="num" w:pos="1410"/>
        </w:tabs>
        <w:ind w:left="1410" w:hanging="705"/>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6969EF"/>
    <w:multiLevelType w:val="hybridMultilevel"/>
    <w:tmpl w:val="15BE73E4"/>
    <w:lvl w:ilvl="0" w:tplc="0C0A000F">
      <w:start w:val="1"/>
      <w:numFmt w:val="decimal"/>
      <w:lvlText w:val="%1."/>
      <w:lvlJc w:val="left"/>
      <w:pPr>
        <w:tabs>
          <w:tab w:val="num" w:pos="720"/>
        </w:tabs>
        <w:ind w:left="720" w:hanging="360"/>
      </w:pPr>
      <w:rPr>
        <w:rFonts w:hint="default"/>
      </w:rPr>
    </w:lvl>
    <w:lvl w:ilvl="1" w:tplc="70F015FA">
      <w:start w:val="2"/>
      <w:numFmt w:val="bullet"/>
      <w:lvlText w:val="-"/>
      <w:lvlJc w:val="left"/>
      <w:pPr>
        <w:tabs>
          <w:tab w:val="num" w:pos="1440"/>
        </w:tabs>
        <w:ind w:left="1440" w:hanging="360"/>
      </w:pPr>
      <w:rPr>
        <w:rFonts w:ascii="Times New Roman" w:eastAsia="Times New Roman" w:hAnsi="Times New Roman" w:cs="Times New Roman"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877F56"/>
    <w:multiLevelType w:val="hybridMultilevel"/>
    <w:tmpl w:val="AAA2B6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1525FF"/>
    <w:multiLevelType w:val="hybridMultilevel"/>
    <w:tmpl w:val="9F6ED8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E645DC"/>
    <w:multiLevelType w:val="hybridMultilevel"/>
    <w:tmpl w:val="B7301BDE"/>
    <w:lvl w:ilvl="0" w:tplc="0C0A000F">
      <w:start w:val="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6678600F"/>
    <w:multiLevelType w:val="hybridMultilevel"/>
    <w:tmpl w:val="EB0CB6BA"/>
    <w:lvl w:ilvl="0" w:tplc="B052BB3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D00C08"/>
    <w:multiLevelType w:val="hybridMultilevel"/>
    <w:tmpl w:val="A6BC048A"/>
    <w:lvl w:ilvl="0" w:tplc="1090E32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F0"/>
    <w:rsid w:val="0007519D"/>
    <w:rsid w:val="000C5711"/>
    <w:rsid w:val="000E1C73"/>
    <w:rsid w:val="00153CAD"/>
    <w:rsid w:val="00260FE6"/>
    <w:rsid w:val="002E6DFE"/>
    <w:rsid w:val="00382233"/>
    <w:rsid w:val="00452F7D"/>
    <w:rsid w:val="004652FE"/>
    <w:rsid w:val="00472D49"/>
    <w:rsid w:val="008732E7"/>
    <w:rsid w:val="00881A1A"/>
    <w:rsid w:val="0095448D"/>
    <w:rsid w:val="009B49D6"/>
    <w:rsid w:val="009E67C6"/>
    <w:rsid w:val="00A85256"/>
    <w:rsid w:val="00AA70BE"/>
    <w:rsid w:val="00C1073F"/>
    <w:rsid w:val="00CB6935"/>
    <w:rsid w:val="00D67FF0"/>
    <w:rsid w:val="00D90F3D"/>
    <w:rsid w:val="00DB15FA"/>
    <w:rsid w:val="00E30AE0"/>
    <w:rsid w:val="00E85424"/>
    <w:rsid w:val="00F31253"/>
    <w:rsid w:val="00F72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9B966"/>
  <w15:chartTrackingRefBased/>
  <w15:docId w15:val="{689E7C90-7240-4CFB-B59E-41A8F482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ind w:left="2832" w:right="-568"/>
      <w:jc w:val="right"/>
      <w:outlineLvl w:val="0"/>
    </w:pPr>
    <w:rPr>
      <w:rFonts w:ascii="Univers" w:hAnsi="Univers" w:cs="Arial"/>
      <w:b/>
      <w:bCs/>
      <w:sz w:val="24"/>
      <w:szCs w:val="24"/>
    </w:rPr>
  </w:style>
  <w:style w:type="paragraph" w:styleId="Ttulo2">
    <w:name w:val="heading 2"/>
    <w:basedOn w:val="Normal"/>
    <w:next w:val="Normal"/>
    <w:qFormat/>
    <w:pPr>
      <w:keepNext/>
      <w:ind w:left="6372" w:right="-568"/>
      <w:jc w:val="both"/>
      <w:outlineLvl w:val="1"/>
    </w:pPr>
    <w:rPr>
      <w:rFonts w:ascii="Univers" w:hAnsi="Univers" w:cs="Arial"/>
      <w:b/>
      <w:bCs/>
      <w:sz w:val="24"/>
      <w:szCs w:val="24"/>
    </w:rPr>
  </w:style>
  <w:style w:type="paragraph" w:styleId="Ttulo3">
    <w:name w:val="heading 3"/>
    <w:basedOn w:val="Normal"/>
    <w:next w:val="Normal"/>
    <w:qFormat/>
    <w:pPr>
      <w:keepNext/>
      <w:ind w:left="708" w:right="-568"/>
      <w:jc w:val="center"/>
      <w:outlineLvl w:val="2"/>
    </w:pPr>
    <w:rPr>
      <w:rFonts w:ascii="Verdana" w:hAnsi="Verdana" w:cs="Arial"/>
      <w:b/>
      <w:bCs/>
      <w:sz w:val="28"/>
      <w:szCs w:val="24"/>
      <w:u w:val="single"/>
    </w:rPr>
  </w:style>
  <w:style w:type="paragraph" w:styleId="Ttulo4">
    <w:name w:val="heading 4"/>
    <w:basedOn w:val="Normal"/>
    <w:next w:val="Normal"/>
    <w:qFormat/>
    <w:pPr>
      <w:keepNext/>
      <w:jc w:val="center"/>
      <w:outlineLvl w:val="3"/>
    </w:pPr>
    <w:rPr>
      <w:rFonts w:ascii="Verdana" w:hAnsi="Verdana"/>
      <w:b/>
      <w:bCs/>
      <w:i/>
      <w:iCs/>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jc w:val="both"/>
    </w:pPr>
    <w:rPr>
      <w:rFonts w:ascii="Univers" w:hAnsi="Univers" w:cs="Arial"/>
      <w:sz w:val="24"/>
      <w:szCs w:val="24"/>
    </w:rPr>
  </w:style>
  <w:style w:type="paragraph" w:styleId="Sangradetextonormal">
    <w:name w:val="Body Text Indent"/>
    <w:basedOn w:val="Normal"/>
    <w:semiHidden/>
    <w:pPr>
      <w:ind w:left="709" w:hanging="1"/>
      <w:jc w:val="both"/>
    </w:pPr>
    <w:rPr>
      <w:rFonts w:ascii="Univers" w:hAnsi="Univers" w:cs="Arial"/>
      <w:sz w:val="24"/>
      <w:szCs w:val="24"/>
    </w:rPr>
  </w:style>
  <w:style w:type="paragraph" w:styleId="Textoindependiente2">
    <w:name w:val="Body Text 2"/>
    <w:basedOn w:val="Normal"/>
    <w:semiHidden/>
    <w:pPr>
      <w:jc w:val="both"/>
    </w:pPr>
    <w:rPr>
      <w:rFonts w:ascii="Comic Sans MS" w:hAnsi="Comic Sans MS"/>
      <w:sz w:val="24"/>
      <w:szCs w:val="24"/>
    </w:rPr>
  </w:style>
  <w:style w:type="paragraph" w:styleId="Textoindependiente3">
    <w:name w:val="Body Text 3"/>
    <w:basedOn w:val="Normal"/>
    <w:semiHidden/>
    <w:rPr>
      <w:rFonts w:ascii="Verdana" w:hAnsi="Verdana"/>
      <w:szCs w:val="24"/>
    </w:rPr>
  </w:style>
  <w:style w:type="paragraph" w:styleId="Prrafodelista">
    <w:name w:val="List Paragraph"/>
    <w:basedOn w:val="Normal"/>
    <w:uiPriority w:val="34"/>
    <w:qFormat/>
    <w:rsid w:val="00CB6935"/>
    <w:pPr>
      <w:spacing w:after="160" w:line="259" w:lineRule="auto"/>
      <w:ind w:left="720"/>
      <w:contextualSpacing/>
    </w:pPr>
    <w:rPr>
      <w:rFonts w:ascii="Calibri" w:eastAsia="Calibri" w:hAnsi="Calibri"/>
      <w:sz w:val="22"/>
      <w:szCs w:val="22"/>
      <w:lang w:eastAsia="en-US"/>
    </w:rPr>
  </w:style>
  <w:style w:type="table" w:customStyle="1" w:styleId="Tablaconcuadrcula1">
    <w:name w:val="Tabla con cuadrícula1"/>
    <w:basedOn w:val="Tablanormal"/>
    <w:next w:val="Tablaconcuadrcula"/>
    <w:uiPriority w:val="39"/>
    <w:rsid w:val="00D67F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51">
    <w:name w:val="Tabla de lista 2 - Énfasis 51"/>
    <w:basedOn w:val="Tablanormal"/>
    <w:next w:val="Tabladelista2-nfasis5"/>
    <w:uiPriority w:val="47"/>
    <w:rsid w:val="00D67FF0"/>
    <w:rPr>
      <w:rFonts w:ascii="Calibri" w:eastAsia="Calibri" w:hAnsi="Calibri"/>
      <w:sz w:val="22"/>
      <w:szCs w:val="22"/>
      <w:lang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
    <w:name w:val="Table Grid"/>
    <w:basedOn w:val="Tablanormal"/>
    <w:uiPriority w:val="39"/>
    <w:rsid w:val="00D6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D67FF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yuntamiento@campodecriptana.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Urda\Documents\Plantillas%20personalizadas%20de%20Office\plantilla%20Campo%20de%20Cri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Campo de Crip</Template>
  <TotalTime>58</TotalTime>
  <Pages>4</Pages>
  <Words>1248</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INTERVENCION</Company>
  <LinksUpToDate>false</LinksUpToDate>
  <CharactersWithSpaces>8096</CharactersWithSpaces>
  <SharedDoc>false</SharedDoc>
  <HLinks>
    <vt:vector size="6" baseType="variant">
      <vt:variant>
        <vt:i4>393271</vt:i4>
      </vt:variant>
      <vt:variant>
        <vt:i4>0</vt:i4>
      </vt:variant>
      <vt:variant>
        <vt:i4>0</vt:i4>
      </vt:variant>
      <vt:variant>
        <vt:i4>5</vt:i4>
      </vt:variant>
      <vt:variant>
        <vt:lpwstr>mailto:ayuntamiento@campodecriptana.es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Urda Palomino</dc:creator>
  <cp:keywords/>
  <dc:description/>
  <cp:lastModifiedBy>Claudia Chazarra Fernández</cp:lastModifiedBy>
  <cp:revision>1</cp:revision>
  <cp:lastPrinted>2023-08-29T07:28:00Z</cp:lastPrinted>
  <dcterms:created xsi:type="dcterms:W3CDTF">2024-01-29T10:45:00Z</dcterms:created>
  <dcterms:modified xsi:type="dcterms:W3CDTF">2024-01-29T11:55:00Z</dcterms:modified>
</cp:coreProperties>
</file>